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32638" w14:textId="77777777" w:rsidR="00893440" w:rsidRDefault="00893440" w:rsidP="00893440">
      <w:pPr>
        <w:pStyle w:val="Alishlah13authornames"/>
        <w:rPr>
          <w:bCs/>
          <w:snapToGrid w:val="0"/>
          <w:sz w:val="28"/>
          <w:szCs w:val="28"/>
        </w:rPr>
      </w:pPr>
    </w:p>
    <w:p w14:paraId="1FDB5140" w14:textId="2835BD0C" w:rsidR="00784B9B" w:rsidRDefault="000B094B" w:rsidP="000B094B">
      <w:pPr>
        <w:pStyle w:val="Alishlah16affiliation"/>
        <w:ind w:left="0" w:firstLine="0"/>
        <w:rPr>
          <w:b/>
          <w:bCs/>
          <w:snapToGrid w:val="0"/>
          <w:sz w:val="28"/>
          <w:szCs w:val="28"/>
          <w:lang w:val="en-ID"/>
        </w:rPr>
      </w:pPr>
      <w:r w:rsidRPr="000B094B">
        <w:rPr>
          <w:b/>
          <w:bCs/>
          <w:snapToGrid w:val="0"/>
          <w:sz w:val="28"/>
          <w:szCs w:val="28"/>
          <w:lang w:val="en-ID"/>
        </w:rPr>
        <w:t xml:space="preserve">The Influence of the Online Learning System on the Professionalism of Lecturer Performance at Al </w:t>
      </w:r>
      <w:proofErr w:type="spellStart"/>
      <w:r w:rsidRPr="000B094B">
        <w:rPr>
          <w:b/>
          <w:bCs/>
          <w:snapToGrid w:val="0"/>
          <w:sz w:val="28"/>
          <w:szCs w:val="28"/>
          <w:lang w:val="en-ID"/>
        </w:rPr>
        <w:t>Washliyah</w:t>
      </w:r>
      <w:proofErr w:type="spellEnd"/>
      <w:r w:rsidRPr="000B094B">
        <w:rPr>
          <w:b/>
          <w:bCs/>
          <w:snapToGrid w:val="0"/>
          <w:sz w:val="28"/>
          <w:szCs w:val="28"/>
          <w:lang w:val="en-ID"/>
        </w:rPr>
        <w:t xml:space="preserve"> Nusantara Muslim University</w:t>
      </w:r>
    </w:p>
    <w:p w14:paraId="4ADBEEAC" w14:textId="77777777" w:rsidR="00A604EE" w:rsidRDefault="00A604EE" w:rsidP="00A604EE">
      <w:pPr>
        <w:pStyle w:val="Alishlah16affiliation"/>
        <w:ind w:left="0" w:firstLine="0"/>
        <w:rPr>
          <w:vertAlign w:val="superscript"/>
        </w:rPr>
      </w:pPr>
      <w:proofErr w:type="spellStart"/>
      <w:r w:rsidRPr="00A604EE">
        <w:t>Disna</w:t>
      </w:r>
      <w:proofErr w:type="spellEnd"/>
      <w:r w:rsidRPr="00A604EE">
        <w:t xml:space="preserve"> Anum Siregar</w:t>
      </w:r>
      <w:r w:rsidRPr="00A604EE">
        <w:rPr>
          <w:vertAlign w:val="superscript"/>
        </w:rPr>
        <w:t>1</w:t>
      </w:r>
      <w:r w:rsidRPr="00A604EE">
        <w:t xml:space="preserve">, </w:t>
      </w:r>
      <w:proofErr w:type="spellStart"/>
      <w:r w:rsidRPr="00A604EE">
        <w:t>Ulian</w:t>
      </w:r>
      <w:proofErr w:type="spellEnd"/>
      <w:r w:rsidRPr="00A604EE">
        <w:t xml:space="preserve"> Barus</w:t>
      </w:r>
      <w:r w:rsidRPr="00A604EE">
        <w:rPr>
          <w:vertAlign w:val="superscript"/>
        </w:rPr>
        <w:t>2</w:t>
      </w:r>
      <w:r w:rsidRPr="00A604EE">
        <w:t>, Nurjannah</w:t>
      </w:r>
      <w:r w:rsidRPr="00A604EE">
        <w:rPr>
          <w:vertAlign w:val="superscript"/>
        </w:rPr>
        <w:t>3</w:t>
      </w:r>
      <w:r w:rsidRPr="00A604EE">
        <w:t>, Saiful Bahri</w:t>
      </w:r>
      <w:r w:rsidRPr="00A604EE">
        <w:rPr>
          <w:vertAlign w:val="superscript"/>
        </w:rPr>
        <w:t>4</w:t>
      </w:r>
    </w:p>
    <w:p w14:paraId="65AC6A5A" w14:textId="1A1DD3AA" w:rsidR="00A604EE" w:rsidRDefault="00A604EE" w:rsidP="00A604EE">
      <w:pPr>
        <w:pStyle w:val="Alishlah16affiliation"/>
        <w:ind w:left="0" w:firstLine="0"/>
        <w:rPr>
          <w:lang w:val="en-ID"/>
        </w:rPr>
      </w:pPr>
      <w:r>
        <w:rPr>
          <w:vertAlign w:val="superscript"/>
          <w:lang w:val="en-ID"/>
        </w:rPr>
        <w:t>1</w:t>
      </w:r>
      <w:r w:rsidRPr="00A604EE">
        <w:rPr>
          <w:lang w:val="en-ID"/>
        </w:rPr>
        <w:t xml:space="preserve">Universitas Muslim Nusantara Al </w:t>
      </w:r>
      <w:proofErr w:type="spellStart"/>
      <w:r w:rsidRPr="00A604EE">
        <w:rPr>
          <w:lang w:val="en-ID"/>
        </w:rPr>
        <w:t>Washliyah</w:t>
      </w:r>
      <w:proofErr w:type="spellEnd"/>
      <w:r>
        <w:rPr>
          <w:lang w:val="en-ID"/>
        </w:rPr>
        <w:t xml:space="preserve">, </w:t>
      </w:r>
      <w:hyperlink r:id="rId8" w:history="1">
        <w:r w:rsidRPr="00A1158B">
          <w:rPr>
            <w:rStyle w:val="Hyperlink"/>
            <w:lang w:val="en-ID"/>
          </w:rPr>
          <w:t>disnaanumsrg@umnaw.ac.id</w:t>
        </w:r>
      </w:hyperlink>
    </w:p>
    <w:p w14:paraId="670895E8" w14:textId="054DDF67" w:rsidR="00A604EE" w:rsidRDefault="00A604EE" w:rsidP="00A604EE">
      <w:pPr>
        <w:pStyle w:val="Alishlah16affiliation"/>
        <w:ind w:left="0" w:firstLine="0"/>
        <w:rPr>
          <w:lang w:val="en-ID"/>
        </w:rPr>
      </w:pPr>
      <w:r>
        <w:rPr>
          <w:vertAlign w:val="superscript"/>
          <w:lang w:val="en-ID"/>
        </w:rPr>
        <w:t>2</w:t>
      </w:r>
      <w:r w:rsidRPr="00A604EE">
        <w:rPr>
          <w:lang w:val="en-ID"/>
        </w:rPr>
        <w:t xml:space="preserve">Universitas Muslim Nusantara Al </w:t>
      </w:r>
      <w:proofErr w:type="spellStart"/>
      <w:r w:rsidRPr="00A604EE">
        <w:rPr>
          <w:lang w:val="en-ID"/>
        </w:rPr>
        <w:t>Washliyah</w:t>
      </w:r>
      <w:proofErr w:type="spellEnd"/>
      <w:r>
        <w:rPr>
          <w:lang w:val="en-ID"/>
        </w:rPr>
        <w:t xml:space="preserve">, </w:t>
      </w:r>
      <w:hyperlink r:id="rId9" w:history="1">
        <w:r w:rsidRPr="00A1158B">
          <w:rPr>
            <w:rStyle w:val="Hyperlink"/>
            <w:lang w:val="en-ID"/>
          </w:rPr>
          <w:t>ulianbarus@umnaw.ac.id</w:t>
        </w:r>
      </w:hyperlink>
      <w:r>
        <w:rPr>
          <w:lang w:val="en-ID"/>
        </w:rPr>
        <w:t xml:space="preserve"> </w:t>
      </w:r>
    </w:p>
    <w:p w14:paraId="1ED7B9D1" w14:textId="320550EC" w:rsidR="00A604EE" w:rsidRDefault="00A604EE" w:rsidP="00A604EE">
      <w:pPr>
        <w:pStyle w:val="Alishlah16affiliation"/>
        <w:ind w:left="0" w:firstLine="0"/>
        <w:rPr>
          <w:lang w:val="en-ID"/>
        </w:rPr>
      </w:pPr>
      <w:r>
        <w:rPr>
          <w:vertAlign w:val="superscript"/>
          <w:lang w:val="en-ID"/>
        </w:rPr>
        <w:t>3</w:t>
      </w:r>
      <w:r w:rsidRPr="00A604EE">
        <w:rPr>
          <w:lang w:val="en-ID"/>
        </w:rPr>
        <w:t xml:space="preserve">Universitas Muslim Nusantara Al </w:t>
      </w:r>
      <w:proofErr w:type="spellStart"/>
      <w:r w:rsidRPr="00A604EE">
        <w:rPr>
          <w:lang w:val="en-ID"/>
        </w:rPr>
        <w:t>Washliyah</w:t>
      </w:r>
      <w:proofErr w:type="spellEnd"/>
      <w:r>
        <w:rPr>
          <w:lang w:val="en-ID"/>
        </w:rPr>
        <w:t xml:space="preserve">, </w:t>
      </w:r>
      <w:hyperlink r:id="rId10" w:history="1">
        <w:r w:rsidRPr="00A1158B">
          <w:rPr>
            <w:rStyle w:val="Hyperlink"/>
            <w:lang w:val="en-ID"/>
          </w:rPr>
          <w:t>nurjannahdalimunthe@umnaw.ac.id</w:t>
        </w:r>
      </w:hyperlink>
      <w:r>
        <w:rPr>
          <w:lang w:val="en-ID"/>
        </w:rPr>
        <w:t xml:space="preserve"> </w:t>
      </w:r>
      <w:r w:rsidRPr="00A604EE">
        <w:rPr>
          <w:lang w:val="en-ID"/>
        </w:rPr>
        <w:t xml:space="preserve"> </w:t>
      </w:r>
      <w:r>
        <w:rPr>
          <w:lang w:val="en-ID"/>
        </w:rPr>
        <w:t xml:space="preserve"> </w:t>
      </w:r>
    </w:p>
    <w:p w14:paraId="271EE374" w14:textId="29601DB2" w:rsidR="00A604EE" w:rsidRDefault="00A604EE" w:rsidP="00A604EE">
      <w:pPr>
        <w:pStyle w:val="Alishlah16affiliation"/>
        <w:ind w:left="0" w:firstLine="0"/>
        <w:rPr>
          <w:lang w:val="en-ID"/>
        </w:rPr>
      </w:pPr>
      <w:r>
        <w:rPr>
          <w:vertAlign w:val="superscript"/>
          <w:lang w:val="en-ID"/>
        </w:rPr>
        <w:t>4</w:t>
      </w:r>
      <w:r w:rsidRPr="00A604EE">
        <w:rPr>
          <w:lang w:val="en-ID"/>
        </w:rPr>
        <w:t xml:space="preserve">Universitas Muslim Nusantara Al </w:t>
      </w:r>
      <w:proofErr w:type="spellStart"/>
      <w:r w:rsidRPr="00A604EE">
        <w:rPr>
          <w:lang w:val="en-ID"/>
        </w:rPr>
        <w:t>Washliyah</w:t>
      </w:r>
      <w:proofErr w:type="spellEnd"/>
      <w:r>
        <w:rPr>
          <w:lang w:val="en-ID"/>
        </w:rPr>
        <w:t xml:space="preserve">, </w:t>
      </w:r>
      <w:hyperlink r:id="rId11" w:history="1">
        <w:r w:rsidRPr="00A1158B">
          <w:rPr>
            <w:rStyle w:val="Hyperlink"/>
            <w:lang w:val="en-ID"/>
          </w:rPr>
          <w:t>saifulbahri@umnaw.ac.id</w:t>
        </w:r>
      </w:hyperlink>
      <w:r>
        <w:rPr>
          <w:lang w:val="en-ID"/>
        </w:rPr>
        <w:t xml:space="preserve"> </w:t>
      </w:r>
    </w:p>
    <w:p w14:paraId="033BA72E" w14:textId="77777777" w:rsidR="00A604EE" w:rsidRPr="00A604EE" w:rsidRDefault="00A604EE" w:rsidP="000B094B">
      <w:pPr>
        <w:pStyle w:val="Alishlah16affiliation"/>
        <w:ind w:left="0" w:firstLine="0"/>
        <w:rPr>
          <w:color w:val="auto"/>
          <w:lang w:val="en-ID"/>
        </w:rPr>
      </w:pPr>
    </w:p>
    <w:tbl>
      <w:tblPr>
        <w:tblStyle w:val="KisiTabel"/>
        <w:tblW w:w="8845" w:type="dxa"/>
        <w:jc w:val="center"/>
        <w:tblLook w:val="04A0" w:firstRow="1" w:lastRow="0" w:firstColumn="1" w:lastColumn="0" w:noHBand="0" w:noVBand="1"/>
      </w:tblPr>
      <w:tblGrid>
        <w:gridCol w:w="2787"/>
        <w:gridCol w:w="282"/>
        <w:gridCol w:w="5776"/>
      </w:tblGrid>
      <w:tr w:rsidR="0048254D" w:rsidRPr="0048254D" w14:paraId="61BA9889" w14:textId="77777777" w:rsidTr="0048254D">
        <w:trPr>
          <w:jc w:val="center"/>
        </w:trPr>
        <w:tc>
          <w:tcPr>
            <w:tcW w:w="2787" w:type="dxa"/>
            <w:tcBorders>
              <w:top w:val="double" w:sz="4" w:space="0" w:color="auto"/>
              <w:left w:val="nil"/>
              <w:bottom w:val="single" w:sz="4" w:space="0" w:color="auto"/>
              <w:right w:val="nil"/>
            </w:tcBorders>
          </w:tcPr>
          <w:p w14:paraId="3BC8BFF8"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1F795E05"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0E189FE4"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3724D01C" w14:textId="77777777" w:rsidTr="0048254D">
        <w:trPr>
          <w:trHeight w:val="1268"/>
          <w:jc w:val="center"/>
        </w:trPr>
        <w:tc>
          <w:tcPr>
            <w:tcW w:w="2787" w:type="dxa"/>
            <w:tcBorders>
              <w:top w:val="single" w:sz="4" w:space="0" w:color="auto"/>
              <w:left w:val="nil"/>
              <w:bottom w:val="single" w:sz="4" w:space="0" w:color="auto"/>
              <w:right w:val="nil"/>
            </w:tcBorders>
          </w:tcPr>
          <w:p w14:paraId="4E7AAE23"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3FDFFE2A" w14:textId="420F061C" w:rsidR="002B31FD" w:rsidRPr="007C2AFF" w:rsidRDefault="000B094B" w:rsidP="000B094B">
            <w:pPr>
              <w:pStyle w:val="Alishlah18keywords"/>
              <w:rPr>
                <w:lang w:val="fi-FI"/>
              </w:rPr>
            </w:pPr>
            <w:r w:rsidRPr="000B094B">
              <w:rPr>
                <w:bCs/>
                <w:i/>
              </w:rPr>
              <w:t>Covid-19</w:t>
            </w:r>
            <w:r>
              <w:rPr>
                <w:bCs/>
                <w:i/>
              </w:rPr>
              <w:t xml:space="preserve">, </w:t>
            </w:r>
            <w:r w:rsidRPr="000B094B">
              <w:rPr>
                <w:bCs/>
                <w:i/>
              </w:rPr>
              <w:t>Lecturer</w:t>
            </w:r>
            <w:r>
              <w:rPr>
                <w:bCs/>
                <w:i/>
              </w:rPr>
              <w:t xml:space="preserve"> </w:t>
            </w:r>
            <w:r w:rsidRPr="000B094B">
              <w:rPr>
                <w:bCs/>
                <w:i/>
              </w:rPr>
              <w:t>Professionalism</w:t>
            </w:r>
            <w:r>
              <w:rPr>
                <w:bCs/>
                <w:i/>
              </w:rPr>
              <w:t xml:space="preserve">, </w:t>
            </w:r>
            <w:proofErr w:type="gramStart"/>
            <w:r w:rsidRPr="000B094B">
              <w:rPr>
                <w:bCs/>
                <w:i/>
              </w:rPr>
              <w:t>Performance</w:t>
            </w:r>
            <w:r>
              <w:rPr>
                <w:bCs/>
                <w:i/>
              </w:rPr>
              <w:t xml:space="preserve">,  </w:t>
            </w:r>
            <w:r w:rsidRPr="000B094B">
              <w:rPr>
                <w:bCs/>
                <w:i/>
                <w:iCs/>
                <w:lang w:val="en-ID"/>
              </w:rPr>
              <w:t>Online</w:t>
            </w:r>
            <w:proofErr w:type="gramEnd"/>
            <w:r w:rsidRPr="000B094B">
              <w:rPr>
                <w:bCs/>
                <w:i/>
                <w:iCs/>
                <w:lang w:val="en-ID"/>
              </w:rPr>
              <w:t xml:space="preserve"> Learning</w:t>
            </w:r>
          </w:p>
          <w:p w14:paraId="4CDC72CD" w14:textId="77777777" w:rsidR="0048254D" w:rsidRPr="0048254D" w:rsidRDefault="0048254D" w:rsidP="00CB74D8">
            <w:pPr>
              <w:pStyle w:val="Alishlah18keywords"/>
            </w:pPr>
          </w:p>
        </w:tc>
        <w:tc>
          <w:tcPr>
            <w:tcW w:w="282" w:type="dxa"/>
            <w:vMerge w:val="restart"/>
            <w:tcBorders>
              <w:top w:val="nil"/>
              <w:left w:val="nil"/>
              <w:bottom w:val="nil"/>
              <w:right w:val="nil"/>
            </w:tcBorders>
          </w:tcPr>
          <w:p w14:paraId="402D0022"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196AF424" w14:textId="6D5633FB" w:rsidR="0048254D" w:rsidRPr="007C2AFF" w:rsidRDefault="000B094B" w:rsidP="000B094B">
            <w:pPr>
              <w:pStyle w:val="Alishlah21heading1"/>
              <w:numPr>
                <w:ilvl w:val="0"/>
                <w:numId w:val="0"/>
              </w:numPr>
              <w:jc w:val="both"/>
              <w:rPr>
                <w:b w:val="0"/>
                <w:bCs/>
              </w:rPr>
            </w:pPr>
            <w:r w:rsidRPr="000B094B">
              <w:rPr>
                <w:b w:val="0"/>
                <w:bCs/>
                <w:lang w:val="en-ID"/>
              </w:rPr>
              <w:t xml:space="preserve">This study aims to describe the influence of the online learning system on the professionalism of the performance of Lecturers at Al </w:t>
            </w:r>
            <w:proofErr w:type="spellStart"/>
            <w:r w:rsidRPr="000B094B">
              <w:rPr>
                <w:b w:val="0"/>
                <w:bCs/>
                <w:lang w:val="en-ID"/>
              </w:rPr>
              <w:t>Washliyah</w:t>
            </w:r>
            <w:proofErr w:type="spellEnd"/>
            <w:r w:rsidRPr="000B094B">
              <w:rPr>
                <w:b w:val="0"/>
                <w:bCs/>
                <w:lang w:val="en-ID"/>
              </w:rPr>
              <w:t xml:space="preserve"> Nusantara Muslim University. Currently, Nusantara Muslim University Al </w:t>
            </w:r>
            <w:proofErr w:type="spellStart"/>
            <w:r w:rsidRPr="000B094B">
              <w:rPr>
                <w:b w:val="0"/>
                <w:bCs/>
                <w:lang w:val="en-ID"/>
              </w:rPr>
              <w:t>Washliyah</w:t>
            </w:r>
            <w:proofErr w:type="spellEnd"/>
            <w:r w:rsidRPr="000B094B">
              <w:rPr>
                <w:b w:val="0"/>
                <w:bCs/>
                <w:lang w:val="en-ID"/>
              </w:rPr>
              <w:t xml:space="preserve"> has around 300 staff from </w:t>
            </w:r>
            <w:proofErr w:type="spellStart"/>
            <w:r w:rsidRPr="000B094B">
              <w:rPr>
                <w:b w:val="0"/>
                <w:bCs/>
                <w:lang w:val="en-ID"/>
              </w:rPr>
              <w:t>Kopertis</w:t>
            </w:r>
            <w:proofErr w:type="spellEnd"/>
            <w:r w:rsidRPr="000B094B">
              <w:rPr>
                <w:b w:val="0"/>
                <w:bCs/>
                <w:lang w:val="en-ID"/>
              </w:rPr>
              <w:t xml:space="preserve">, Foundation and Extraordinary. As a percentage of educational qualifications, 85% have received a master's degree. The means to support academic activities are always carried out by Nusantara Muslim University Al </w:t>
            </w:r>
            <w:proofErr w:type="spellStart"/>
            <w:r w:rsidRPr="000B094B">
              <w:rPr>
                <w:b w:val="0"/>
                <w:bCs/>
                <w:lang w:val="en-ID"/>
              </w:rPr>
              <w:t>Washliyah</w:t>
            </w:r>
            <w:proofErr w:type="spellEnd"/>
            <w:r w:rsidRPr="000B094B">
              <w:rPr>
                <w:b w:val="0"/>
                <w:bCs/>
                <w:lang w:val="en-ID"/>
              </w:rPr>
              <w:t xml:space="preserve">, including during the Covid-19 period with online learning. The research method used is a qualitative descriptive research method with data collection carried out through literature studies, observation, document analysis, and literature studies. The results of the study show that leadership is still considered the dominant factor influencing the success and failure of an organization. Lecturer professionalism is stated if the lecturer </w:t>
            </w:r>
            <w:proofErr w:type="spellStart"/>
            <w:r w:rsidRPr="000B094B">
              <w:rPr>
                <w:b w:val="0"/>
                <w:bCs/>
                <w:lang w:val="en-ID"/>
              </w:rPr>
              <w:t>fulfills</w:t>
            </w:r>
            <w:proofErr w:type="spellEnd"/>
            <w:r w:rsidRPr="000B094B">
              <w:rPr>
                <w:b w:val="0"/>
                <w:bCs/>
                <w:lang w:val="en-ID"/>
              </w:rPr>
              <w:t xml:space="preserve"> the lecturer's workload which includes main activities, in the form of planning, process implementation, evaluation of learning outcomes, guidance and training, and conducting research. In addition, carrying out additional duties and community service. However, the Covid-19 era that hit Indonesia in March 2020 has also changed the perception and implementation regarding the professionalism of the performance of Al </w:t>
            </w:r>
            <w:proofErr w:type="spellStart"/>
            <w:r w:rsidRPr="000B094B">
              <w:rPr>
                <w:b w:val="0"/>
                <w:bCs/>
                <w:lang w:val="en-ID"/>
              </w:rPr>
              <w:t>Washliyah</w:t>
            </w:r>
            <w:proofErr w:type="spellEnd"/>
            <w:r w:rsidRPr="000B094B">
              <w:rPr>
                <w:b w:val="0"/>
                <w:bCs/>
                <w:lang w:val="en-ID"/>
              </w:rPr>
              <w:t xml:space="preserve"> Nusantara Muslim University Lecturers. Al </w:t>
            </w:r>
            <w:proofErr w:type="spellStart"/>
            <w:r w:rsidRPr="000B094B">
              <w:rPr>
                <w:b w:val="0"/>
                <w:bCs/>
                <w:lang w:val="en-ID"/>
              </w:rPr>
              <w:t>Washliyah</w:t>
            </w:r>
            <w:proofErr w:type="spellEnd"/>
            <w:r w:rsidRPr="000B094B">
              <w:rPr>
                <w:b w:val="0"/>
                <w:bCs/>
                <w:lang w:val="en-ID"/>
              </w:rPr>
              <w:t xml:space="preserve"> Nusantara Muslim University issued guidelines on preventing Covid-19 by making 9 policy steps namely extending distance lectures until the even semester of the 2019/2020 academic year, providing special treatment for students who experience difficulties in online remote lectures such as network disruptions (among other things can be replaced by learning through modules, assignments to make scientific work and others), guidance activities and implementation of proposal seminars are carried out through online facilities and may meet face to face with due observance of Covid-19 handling standards and the maximum number of attendees is five people namely two supervisors, one </w:t>
            </w:r>
            <w:r w:rsidRPr="000B094B">
              <w:rPr>
                <w:b w:val="0"/>
                <w:bCs/>
                <w:lang w:val="en-ID"/>
              </w:rPr>
              <w:lastRenderedPageBreak/>
              <w:t>examiner as well as students attending green table sessions and the head of the study program.</w:t>
            </w:r>
          </w:p>
        </w:tc>
      </w:tr>
      <w:tr w:rsidR="0048254D" w:rsidRPr="0048254D" w14:paraId="421EC422"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1A50A382"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57EAF3EF" w14:textId="52F4231C" w:rsidR="0048254D" w:rsidRPr="004A39B9" w:rsidRDefault="0048254D" w:rsidP="004A39B9">
            <w:pPr>
              <w:pStyle w:val="Alishlah14history"/>
              <w:rPr>
                <w:lang w:val="en-AU"/>
              </w:rPr>
            </w:pPr>
          </w:p>
        </w:tc>
        <w:tc>
          <w:tcPr>
            <w:tcW w:w="282" w:type="dxa"/>
            <w:vMerge/>
            <w:tcBorders>
              <w:top w:val="nil"/>
              <w:left w:val="nil"/>
              <w:bottom w:val="nil"/>
              <w:right w:val="nil"/>
            </w:tcBorders>
          </w:tcPr>
          <w:p w14:paraId="6B9D030B"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018ABA6E"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3B038138" w14:textId="77777777" w:rsidTr="0048254D">
        <w:trPr>
          <w:trHeight w:val="70"/>
          <w:jc w:val="center"/>
        </w:trPr>
        <w:tc>
          <w:tcPr>
            <w:tcW w:w="2787" w:type="dxa"/>
            <w:vMerge/>
            <w:tcBorders>
              <w:top w:val="single" w:sz="4" w:space="0" w:color="auto"/>
              <w:left w:val="nil"/>
              <w:bottom w:val="single" w:sz="4" w:space="0" w:color="auto"/>
              <w:right w:val="nil"/>
            </w:tcBorders>
          </w:tcPr>
          <w:p w14:paraId="315732B5"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79410D56"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4FA9964D"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2"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7F7DDC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251F4681" wp14:editId="3BE0851A">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3D7AA59F" w14:textId="77777777" w:rsidTr="0048254D">
        <w:trPr>
          <w:jc w:val="center"/>
        </w:trPr>
        <w:tc>
          <w:tcPr>
            <w:tcW w:w="8845" w:type="dxa"/>
            <w:gridSpan w:val="3"/>
            <w:tcBorders>
              <w:top w:val="nil"/>
              <w:left w:val="nil"/>
              <w:bottom w:val="double" w:sz="4" w:space="0" w:color="auto"/>
              <w:right w:val="nil"/>
            </w:tcBorders>
          </w:tcPr>
          <w:p w14:paraId="10811318"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29FD9E09" w14:textId="01A498D0" w:rsidR="00A604EE" w:rsidRDefault="00A604EE" w:rsidP="00A604EE">
            <w:pPr>
              <w:pStyle w:val="Alishlah2authorcorrespondence"/>
              <w:ind w:left="0" w:firstLine="0"/>
              <w:rPr>
                <w:b/>
                <w:bCs/>
                <w:vertAlign w:val="superscript"/>
                <w:lang w:val="en-ID"/>
              </w:rPr>
            </w:pPr>
            <w:proofErr w:type="spellStart"/>
            <w:r w:rsidRPr="00A604EE">
              <w:rPr>
                <w:b/>
                <w:bCs/>
                <w:lang w:val="en-ID"/>
              </w:rPr>
              <w:t>Disna</w:t>
            </w:r>
            <w:proofErr w:type="spellEnd"/>
            <w:r w:rsidRPr="00A604EE">
              <w:rPr>
                <w:b/>
                <w:bCs/>
                <w:lang w:val="en-ID"/>
              </w:rPr>
              <w:t xml:space="preserve"> Anum </w:t>
            </w:r>
            <w:proofErr w:type="spellStart"/>
            <w:r w:rsidRPr="00A604EE">
              <w:rPr>
                <w:b/>
                <w:bCs/>
                <w:lang w:val="en-ID"/>
              </w:rPr>
              <w:t>Siregar</w:t>
            </w:r>
            <w:proofErr w:type="spellEnd"/>
          </w:p>
          <w:p w14:paraId="49A0EB96" w14:textId="33F477E5" w:rsidR="0048254D" w:rsidRPr="00A604EE" w:rsidRDefault="00A604EE" w:rsidP="00A604EE">
            <w:pPr>
              <w:pStyle w:val="Alishlah2authorcorrespondence"/>
              <w:ind w:left="0" w:firstLine="0"/>
              <w:rPr>
                <w:lang w:val="en-ID"/>
              </w:rPr>
            </w:pPr>
            <w:r w:rsidRPr="00A604EE">
              <w:rPr>
                <w:lang w:val="en-ID"/>
              </w:rPr>
              <w:t xml:space="preserve">Universitas Muslim Nusantara Al </w:t>
            </w:r>
            <w:proofErr w:type="spellStart"/>
            <w:r w:rsidRPr="00A604EE">
              <w:rPr>
                <w:lang w:val="en-ID"/>
              </w:rPr>
              <w:t>Washliyah</w:t>
            </w:r>
            <w:proofErr w:type="spellEnd"/>
            <w:r w:rsidRPr="00A604EE">
              <w:rPr>
                <w:lang w:val="en-ID"/>
              </w:rPr>
              <w:t xml:space="preserve">, </w:t>
            </w:r>
            <w:hyperlink r:id="rId14" w:history="1">
              <w:r w:rsidRPr="00A604EE">
                <w:rPr>
                  <w:rStyle w:val="Hyperlink"/>
                  <w:lang w:val="en-ID"/>
                </w:rPr>
                <w:t>disnaanumsrg@umnaw.ac.id</w:t>
              </w:r>
            </w:hyperlink>
          </w:p>
        </w:tc>
      </w:tr>
    </w:tbl>
    <w:p w14:paraId="25308D38" w14:textId="5D10DDC5" w:rsidR="008E64A2" w:rsidRDefault="0048254D" w:rsidP="00A10E86">
      <w:pPr>
        <w:pStyle w:val="Alishlah21heading1"/>
        <w:rPr>
          <w:lang w:val="en-GB"/>
        </w:rPr>
      </w:pPr>
      <w:r w:rsidRPr="00A75CB1">
        <w:rPr>
          <w:lang w:val="en-GB"/>
        </w:rPr>
        <w:t>INTRODUCTION</w:t>
      </w:r>
    </w:p>
    <w:p w14:paraId="579F7012"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Since the beginning of 2020 countries in the world have been shocked by the outbreak of the corona virus or what is known as covid-19. The virus that initially developed in Wuhan, China spread very quickly and spread to various countries including Indonesia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{"citationItems":[{"id":"ITEM-1","itemData":{"DOI":"https://doi.org/10.36261/ijdeel.v8i1.2648","ISBN":"9788409269594","abstract":"This study aims to describe the impact of learning loss on students at universities in Indonesia who are often overlooked in educational discourse during the COVID-19 pandemic. Learning loss is only considered to have an impact on students at school. Whereas learning loss is a global phenomenon, which threatens all students around the world, both in schools and universities. The research method used is descriptive research method with a case study approach. Data were collected through questionnaires, interviews, document analysis, literature study, and observation. Then the data was analyzed adopting interactive analysis from Miles and Huberman. The results of the study indicate that learning loss that occurs in students affects student readiness, not only in the process of achieving competence and learning objectives at university, but also students' readiness to enter the world of work. As many as 87% of students are worried about whether they can get a job after graduating during the COVID-19 period. This concern is reinforced by the phenomenon: around 88% or 9 out of 10 companies are affected by the pandemic in Indonesia. Unemployment is open as much as 3.5 million to 8.5 million people throughout 2020, while Indonesia's economic growth in 2020 is minus 2.07 %.","author":[{"dropping-particle":"","family":"Kadir","given":"Dalimawaty","non-dropping-particle":"","parse-names":false,"suffix":""},{"dropping-particle":"","family":"Sartika","given":"Ika","non-dropping-particle":"","parse-names":false,"suffix":""},{"dropping-particle":"","family":"Mirzachaerulsyah","given":"Edwin","non-dropping-particle":"","parse-names":false,"suffix":""},{"dropping-particle":"","family":"Hasudungan","given":"Anju Nofarof","non-dropping-particle":"","parse-names":false,"suffix":""}],"container-title":"International Journal of Distance Education and E-Learning","id":"ITEM-1","issue":"1","issued":{"date-parts":[["2022"]]},"page":"1-17","title":"THE IMPACT OF LEARNING LOSS ON HIGHER EDUCATION STUDENTS IN INDONESIA: A CRITICAL REVIEW","type":"article-journal","volume":"8"},"uris":["http://www.mendeley.com/documents/?uuid=8a27c4fb-be38-4425-bb49-c19f7856904a"]}],"mendeley":{"formattedCitation":"(Kadir, Sartika, Mirzachaerulsyah, &amp; Hasudungan, 2022)","plainTextFormattedCitation":"(Kadir, Sartika, Mirzachaerulsyah, &amp; Hasudungan, 2022)","previouslyFormattedCitation":"(Kadir, Sartika, Mirzachaerulsyah, &amp; Hasudungan, 2022)"},"properties":{"noteIndex":0},"schema":"https://github.com/citation-style-language/schema/raw/master/csl-citation.json"}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 xml:space="preserve">(Kadir, </w:t>
      </w:r>
      <w:proofErr w:type="spellStart"/>
      <w:r w:rsidRPr="000B094B">
        <w:rPr>
          <w:rFonts w:ascii="Palatino Linotype" w:hAnsi="Palatino Linotype"/>
          <w:sz w:val="20"/>
          <w:szCs w:val="20"/>
        </w:rPr>
        <w:t>Sartika</w:t>
      </w:r>
      <w:proofErr w:type="spellEnd"/>
      <w:r w:rsidRPr="000B094B">
        <w:rPr>
          <w:rFonts w:ascii="Palatino Linotype" w:hAnsi="Palatino Linotype"/>
          <w:sz w:val="20"/>
          <w:szCs w:val="20"/>
        </w:rPr>
        <w:t xml:space="preserve">, </w:t>
      </w:r>
      <w:proofErr w:type="spellStart"/>
      <w:r w:rsidRPr="000B094B">
        <w:rPr>
          <w:rFonts w:ascii="Palatino Linotype" w:hAnsi="Palatino Linotype"/>
          <w:sz w:val="20"/>
          <w:szCs w:val="20"/>
        </w:rPr>
        <w:t>Mirzachaerulsyah</w:t>
      </w:r>
      <w:proofErr w:type="spellEnd"/>
      <w:r w:rsidRPr="000B094B">
        <w:rPr>
          <w:rFonts w:ascii="Palatino Linotype" w:hAnsi="Palatino Linotype"/>
          <w:sz w:val="20"/>
          <w:szCs w:val="20"/>
        </w:rPr>
        <w:t xml:space="preserve">, &amp; </w:t>
      </w:r>
      <w:proofErr w:type="spellStart"/>
      <w:r w:rsidRPr="000B094B">
        <w:rPr>
          <w:rFonts w:ascii="Palatino Linotype" w:hAnsi="Palatino Linotype"/>
          <w:sz w:val="20"/>
          <w:szCs w:val="20"/>
        </w:rPr>
        <w:t>Hasudungan</w:t>
      </w:r>
      <w:proofErr w:type="spellEnd"/>
      <w:r w:rsidRPr="000B094B">
        <w:rPr>
          <w:rFonts w:ascii="Palatino Linotype" w:hAnsi="Palatino Linotype"/>
          <w:sz w:val="20"/>
          <w:szCs w:val="20"/>
        </w:rPr>
        <w:t>, 2022)</w:t>
      </w:r>
      <w:r w:rsidRPr="000B094B">
        <w:rPr>
          <w:rFonts w:ascii="Palatino Linotype" w:hAnsi="Palatino Linotype"/>
          <w:sz w:val="20"/>
          <w:szCs w:val="20"/>
        </w:rPr>
        <w:fldChar w:fldCharType="end"/>
      </w:r>
      <w:r w:rsidRPr="000B094B">
        <w:rPr>
          <w:rFonts w:ascii="Palatino Linotype" w:hAnsi="Palatino Linotype"/>
          <w:sz w:val="20"/>
          <w:szCs w:val="20"/>
        </w:rPr>
        <w:t xml:space="preserve">. The government began announcing the existence of the covid-19 virus in Indonesia at the end of February 2020. At the push of WHO to establish a national emergency status for Covid-19, the government established the status of the Covid-19 National Disaster Emergency period on March 14 2020. Government policies dealing with the covid-19 pandemic had an impact in all walks of life including the campus world. The declaration of a National Disaster has closed down almost all campuses since mid-March 2020. The world of education responded to this government policy by closing campuses and establishing a distance learning program for students through internet technology. This was quite a surprise to the academic community, both lecturers, students and campus support divisions. This is the first time the campus really faces uncertainty. </w:t>
      </w:r>
    </w:p>
    <w:p w14:paraId="24DF0FAB"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This condition makes campus people think hard to be able to adapt to uncertainty. It turns out that campuses are also required to try to mitigate this uncertainty. The campus is making rapid changes by implementing an online model learning process (in the network) using 4.0 technology which was considered wishful thinking before. Now, with Covid-19, campuses are forced and accelerated to use technology 4.0 in distance learning (PJJ) activities. Lecturers and students are "forced" by circumstances to get used to the new learning pattern, namely the 4.0 lecture pattern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{"citationItems":[{"id":"ITEM-1","itemData":{"DOI":"10.3390/su13084381","ISSN":"2071-1050","abstract":"Educational life worldwide has been shaken by the closure of schools due to the outbreak of the coronavirus pandemic. The ripple effects have been felt in the way both teachers and students have adapted to the constraints imposed by the new online form of education. The present study focuses exclusively on the beneficiaries of the educational process and aims to find out their perceptions of face-to-face and e-learning and their desire to return, or not, to the traditional form of education. These perceptions are represented by 604 students of the Politehnica University of Timisoara, who were asked to respond anonymously to an 8-question questionnaire between December 2020 and February 2021. The results show the respondents’ levels of desire to return to school (especially of those who have only benefited from e-learning) and their degree of involvement during online classes. The results also specify the advantages and disadvantages of the two forms of education from a double perspective, namely that of first-year students (beneficiaries of e-learning exclusively), and of upper-year students (beneficiaries of both face-to-face and e-learning). The study points out key information about e-learning from the students’ perspectives, which should be considered to understand the ongoing changes of the educational process and to solve its specific problems, thus ensuring its sustainability.","author":[{"dropping-particle":"","family":"Gherheș","given":"Vasile","non-dropping-particle":"","parse-names":false,"suffix":""},{"dropping-particle":"","family":"Stoian","given":"Claudia E.","non-dropping-particle":"","parse-names":false,"suffix":""},{"dropping-particle":"","family":"Fărcașiu","given":"Marcela Alina","non-dropping-particle":"","parse-names":false,"suffix":""},{"dropping-particle":"","family":"Stanici","given":"Miroslav","non-dropping-particle":"","parse-names":false,"suffix":""}],"container-title":"Sustainability","id":"ITEM-1","issue":"8","issued":{"date-parts":[["2021","4","14"]]},"page":"4381","title":"E-Learning vs. Face-To-Face Learning: Analyzing Students’ Preferences and Behaviors","type":"article-journal","volume":"13"},"uris":["http://www.mendeley.com/documents/?uuid=838a2c90-daf3-4bfb-bba5-51991434a840"]}],"mendeley":{"formattedCitation":"(Gherheș, Stoian, Fărcașiu, &amp; Stanici, 2021)","plainTextFormattedCitation":"(Gherheș, Stoian, Fărcașiu, &amp; Stanici, 2021)","previouslyFormattedCitation":"(Gherheș, Stoian, Fărcașiu, &amp; Stanici, 2021)"},"properties":{"noteIndex":0},"schema":"https://github.com/citation-style-language/schema/raw/master/csl-citation.json"}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w:t>
      </w:r>
      <w:proofErr w:type="spellStart"/>
      <w:r w:rsidRPr="000B094B">
        <w:rPr>
          <w:rFonts w:ascii="Palatino Linotype" w:hAnsi="Palatino Linotype"/>
          <w:sz w:val="20"/>
          <w:szCs w:val="20"/>
        </w:rPr>
        <w:t>Gherheș</w:t>
      </w:r>
      <w:proofErr w:type="spellEnd"/>
      <w:r w:rsidRPr="000B094B">
        <w:rPr>
          <w:rFonts w:ascii="Palatino Linotype" w:hAnsi="Palatino Linotype"/>
          <w:sz w:val="20"/>
          <w:szCs w:val="20"/>
        </w:rPr>
        <w:t xml:space="preserve">, Stoian, </w:t>
      </w:r>
      <w:proofErr w:type="spellStart"/>
      <w:r w:rsidRPr="000B094B">
        <w:rPr>
          <w:rFonts w:ascii="Palatino Linotype" w:hAnsi="Palatino Linotype"/>
          <w:sz w:val="20"/>
          <w:szCs w:val="20"/>
        </w:rPr>
        <w:t>Fărcașiu</w:t>
      </w:r>
      <w:proofErr w:type="spellEnd"/>
      <w:r w:rsidRPr="000B094B">
        <w:rPr>
          <w:rFonts w:ascii="Palatino Linotype" w:hAnsi="Palatino Linotype"/>
          <w:sz w:val="20"/>
          <w:szCs w:val="20"/>
        </w:rPr>
        <w:t xml:space="preserve">, &amp; </w:t>
      </w:r>
      <w:proofErr w:type="spellStart"/>
      <w:r w:rsidRPr="000B094B">
        <w:rPr>
          <w:rFonts w:ascii="Palatino Linotype" w:hAnsi="Palatino Linotype"/>
          <w:sz w:val="20"/>
          <w:szCs w:val="20"/>
        </w:rPr>
        <w:t>Stanici</w:t>
      </w:r>
      <w:proofErr w:type="spellEnd"/>
      <w:r w:rsidRPr="000B094B">
        <w:rPr>
          <w:rFonts w:ascii="Palatino Linotype" w:hAnsi="Palatino Linotype"/>
          <w:sz w:val="20"/>
          <w:szCs w:val="20"/>
        </w:rPr>
        <w:t>, 2021)</w:t>
      </w:r>
      <w:r w:rsidRPr="000B094B">
        <w:rPr>
          <w:rFonts w:ascii="Palatino Linotype" w:hAnsi="Palatino Linotype"/>
          <w:sz w:val="20"/>
          <w:szCs w:val="20"/>
        </w:rPr>
        <w:fldChar w:fldCharType="end"/>
      </w:r>
      <w:r w:rsidRPr="000B094B">
        <w:rPr>
          <w:rFonts w:ascii="Palatino Linotype" w:hAnsi="Palatino Linotype"/>
          <w:sz w:val="20"/>
          <w:szCs w:val="20"/>
        </w:rPr>
        <w:t>.</w:t>
      </w:r>
    </w:p>
    <w:p w14:paraId="2D73FF17"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The government's policy to carry out study from home has had an impact on the world of education. This is supported by the policy of the Ministry of Education and Culture which prohibits tertiary institutions from holding face-to-face lectures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{"citationItems":[{"id":"ITEM-1","itemData":{"DOI":"10.51276/edu.v2i1.112","ISSN":"2722-5194","abstract":"Abstract: The learning process in schools during the Covid-19 pandemic had many problems to face. The Covid-19 pandemic that has hit the world, including Indonesia, requires taking a stand in preventing wider transmission, including the education sector. In this regard, the Ministry of Education and Culture has taken a firm stance through several circular letters relating to education policies in the emergency period of the spread of Covid-19. This paper examines the implementation of education policies during the Covid-19 pandemic related to distance learning policies. The distance learning process is a solution that is not yet optimal in its implementation. There are things that must be considered in this distance learning, among others, the quality of teacher resources must be improved, both in terms of content and methodology as well as in terms of the use of information technology. In addition, students are also less active in participating in this distance learning, both due to an unstable internet network and in terms of providing a limited internet quota. The purpose of writing this article is to study and understand the problems in learning activities during a pandemic, namely distance learning so that students can participate actively and interestingly. This study used a qualitative and observative approach. The results of this study prove that distance learning (PJJ) during the Covid-19 pandemic caused various responses and changes to the learning system that could affect the learning process and the level of development of students in responding to the material presented. Abstrak: Proses pembelajaran di sekolah pada masa pandemi Covid-19 mempunyai banyak permasalahan yang dihadapi. Pandemi Covid-19 yang melanda dunia termasuk Indonesia mengharuskan mengambil sikap dalam mencegah penularan yang lebih luas, termasuk sektor pendidikan. Berkaitan dengan hal tersebut Kementerian Pendidikan dan Kebudayaan mengambil sikap tegas melalui beberapa surat edaran berkaitan tentang kebijakan pendidikan dalam masa darurat penyebaran Covid-19. Tulisan ini mengkaji pelaksanaan kebijakan pendidikan dalam masa pandemi Covid-19 berkaitan dengan kebijakan pembelajaran jarak jauh. Proses pembelajaran jarak jauh merupakan solusi yang dalam pelaksanaannya belum optimal secara keseluruhan. Ada hal yang harus diperhatikan dalam pembelajaran jarak jauh ini antara lain sumber daya guru harus ditingkatkan kualitasnya, baik dari segi konten maupun metodologi juga dalam h…","author":[{"dropping-particle":"","family":"Basar","given":"Afip Miftahul","non-dropping-particle":"","parse-names":false,"suffix":""}],"container-title":"Edunesia : Jurnal Ilmiah Pendidikan","id":"ITEM-1","issue":"1","issued":{"date-parts":[["2021"]]},"page":"208-218","title":"Problematika Pembelajaran Jarak Jauh Pada Masa Pandemi Covid-19","type":"article-journal","volume":"2"},"uris":["http://www.mendeley.com/documents/?uuid=8d82cc73-e179-43a3-9236-7d627f7de918"]}],"mendeley":{"formattedCitation":"(Basar, 2021)","plainTextFormattedCitation":"(Basar, 2021)","previouslyFormattedCitation":"(Basar, 2021)"},"properties":{"noteIndex":0},"schema":"https://github.com/citation-style-language/schema/raw/master/csl-citation.json"}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w:t>
      </w:r>
      <w:proofErr w:type="spellStart"/>
      <w:r w:rsidRPr="000B094B">
        <w:rPr>
          <w:rFonts w:ascii="Palatino Linotype" w:hAnsi="Palatino Linotype"/>
          <w:sz w:val="20"/>
          <w:szCs w:val="20"/>
        </w:rPr>
        <w:t>Basar</w:t>
      </w:r>
      <w:proofErr w:type="spellEnd"/>
      <w:r w:rsidRPr="000B094B">
        <w:rPr>
          <w:rFonts w:ascii="Palatino Linotype" w:hAnsi="Palatino Linotype"/>
          <w:sz w:val="20"/>
          <w:szCs w:val="20"/>
        </w:rPr>
        <w:t>, 2021)</w:t>
      </w:r>
      <w:r w:rsidRPr="000B094B">
        <w:rPr>
          <w:rFonts w:ascii="Palatino Linotype" w:hAnsi="Palatino Linotype"/>
          <w:sz w:val="20"/>
          <w:szCs w:val="20"/>
        </w:rPr>
        <w:fldChar w:fldCharType="end"/>
      </w:r>
      <w:r w:rsidRPr="000B094B">
        <w:rPr>
          <w:rFonts w:ascii="Palatino Linotype" w:hAnsi="Palatino Linotype"/>
          <w:sz w:val="20"/>
          <w:szCs w:val="20"/>
        </w:rPr>
        <w:t>. This has caused many universities to implement an online learning system. Eliminating face-to-face lectures and replacing them with online lectures is one of the solutions so that you can continue teaching and learning activities during the Covid-19 period.</w:t>
      </w:r>
    </w:p>
    <w:p w14:paraId="3ADA373F"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To support online lectures, it is very necessary to use digital technology. Many digital technologies support the implementation of online lectures such as e-learning, Google Classroom, Edmodo, Moodle, Learning Houses, and even in the form of video conferencing such as Google meet, Zoom, and </w:t>
      </w:r>
      <w:proofErr w:type="spellStart"/>
      <w:r w:rsidRPr="000B094B">
        <w:rPr>
          <w:rFonts w:ascii="Palatino Linotype" w:hAnsi="Palatino Linotype"/>
          <w:sz w:val="20"/>
          <w:szCs w:val="20"/>
        </w:rPr>
        <w:t>Visco</w:t>
      </w:r>
      <w:proofErr w:type="spellEnd"/>
      <w:r w:rsidRPr="000B094B">
        <w:rPr>
          <w:rFonts w:ascii="Palatino Linotype" w:hAnsi="Palatino Linotype"/>
          <w:sz w:val="20"/>
          <w:szCs w:val="20"/>
        </w:rPr>
        <w:t xml:space="preserve"> Webex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{"citationItems":[{"id":"ITEM-1","itemData":{"DOI":"10.32332/pedagogy.v8i2.","ISBN":"0000000212052","abstract":"We investigate the impacts of the COVID-19 pandemic and the large-scale social distancing (PSBB) policy on Indonesia’s financial technology (fintech) markets. We also elaborate on the roles fintech companies can play in the national economic recovery. We find that Indonesia’s fintech markets were relatively resilient during the COVID-19 pandemic. The pandemic did not have significant impacts on Indonesia’s fintech markets, but the PSBB harmed phone banking, mobile banking, and internet banking transaction values as well as peer-to-peer (P2P) fintech lending. Nevertheless, the PSBB increased electronic money transactions. The relatively short PSBB period prevented the restrictions on economic activities from imposing too much damage on the fintech markets. The Indonesian authorities involved the fintech industry as a component of the national economic recovery program (PEN), particularly the pre-employment card (Kartu Prakerja) program. There are still many areas in which the government can utilize the fintech industry for economic recovery, including direct cash transfers to poor households and extensions of subsidized loans for micro, small, and medium-sized enterprises (MSMEs).","author":[{"dropping-particle":"","family":"Fitria","given":"Tira Nur","non-dropping-particle":"","parse-names":false,"suffix":""}],"container-title":"International Journal of Advanced Scientific Research &amp; Development. (IJASRD)","id":"ITEM-1","issue":"3394","issued":{"date-parts":[["2020"]]},"page":"7-20","title":"Teaching English through Online System During Covis 19 pandemic","type":"article-journal","volume":"1"},"uris":["http://www.mendeley.com/documents/?uuid=aa0ae1fa-a206-47d0-bf30-9d403b56baa3"]}],"mendeley":{"formattedCitation":"(Fitria, 2020)","plainTextFormattedCitation":"(Fitria, 2020)","previouslyFormattedCitation":"(Fitria, 2020)"},"properties":{"noteIndex":0},"schema":"https://github.com/citation-style-language/schema/raw/master/csl-citation.json"}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w:t>
      </w:r>
      <w:proofErr w:type="spellStart"/>
      <w:r w:rsidRPr="000B094B">
        <w:rPr>
          <w:rFonts w:ascii="Palatino Linotype" w:hAnsi="Palatino Linotype"/>
          <w:sz w:val="20"/>
          <w:szCs w:val="20"/>
        </w:rPr>
        <w:t>Fitria</w:t>
      </w:r>
      <w:proofErr w:type="spellEnd"/>
      <w:r w:rsidRPr="000B094B">
        <w:rPr>
          <w:rFonts w:ascii="Palatino Linotype" w:hAnsi="Palatino Linotype"/>
          <w:sz w:val="20"/>
          <w:szCs w:val="20"/>
        </w:rPr>
        <w:t>, 2020)</w:t>
      </w:r>
      <w:r w:rsidRPr="000B094B">
        <w:rPr>
          <w:rFonts w:ascii="Palatino Linotype" w:hAnsi="Palatino Linotype"/>
          <w:sz w:val="20"/>
          <w:szCs w:val="20"/>
        </w:rPr>
        <w:fldChar w:fldCharType="end"/>
      </w:r>
      <w:r w:rsidRPr="000B094B">
        <w:rPr>
          <w:rFonts w:ascii="Palatino Linotype" w:hAnsi="Palatino Linotype"/>
          <w:sz w:val="20"/>
          <w:szCs w:val="20"/>
        </w:rPr>
        <w:t>.</w:t>
      </w:r>
    </w:p>
    <w:p w14:paraId="3B8BFD60"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However, the change from face-to-face lectures to online lectures is not as easy as imagined. Some students complain about the online lecture system. Based on the results of interviews with students, many complained about the need for additional fees to buy quotas to carry out lectures online. In addition, they are also burdened with the many assignments given from each course they take. In certain courses, where there are many formulas and calculations, students cannot understand when the material is delivered through online lectures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{"citationItems":[{"id":"ITEM-1","itemData":{"DOI":"10.1108/ILS-04-2020-0109","ISSN":"2398-5348","abstract":"Purpose Within higher education, there was an abrupt shift from face-to-face to online lecturing with the introduction of social distancing measures in light of a global pandemic. The purpose of this study is to enrich the connection between students and instructors, the authors integrated elaborated interactive activities into large online lectures to enhance both students’ cognitive activities and social presence. Design/methodology/approach In this study, the goals are twofold. First, the authors introduce a classroom orchestration system and its features that support active learning across learning environments. Second, they investigate the differences and similarities between student behaviors during these activities in face-to-face and online settings. Findings The findings reveal individual differences in student behaviors between student cohorts, but no differences between learning environments, highlighting the versatility of the orchestration system across face-to-face and online environments. Practical implications This work presents the use of a classroom orchestration tool that is designed to easily support teaching and learning in online and face-to-face contexts and is particularly well suited for large classes. Originality/value Online lectures can be more than watching a teacher speaking on the computer display. Rich class-wide learning activities can be integrated into online lectures to support more cognitive engagement during the lecture.","author":[{"dropping-particle":"","family":"Olsen","given":"Jennifer K","non-dropping-particle":"","parse-names":false,"suffix":""},{"dropping-particle":"","family":"Faucon","given":"Louis","non-dropping-particle":"","parse-names":false,"suffix":""},{"dropping-particle":"","family":"Dillenbourg","given":"Pierre","non-dropping-particle":"","parse-names":false,"suffix":""}],"container-title":"Information and Learning Sciences","id":"ITEM-1","issue":"7/8","issued":{"date-parts":[["2020","6","27"]]},"page":"559-567","publisher":"Emerald Publishing Limited","title":"Transferring interactive activities in large lectures from face-to-face to online settings","type":"article-journal","volume":"121"},"uris":["http://www.mendeley.com/documents/?uuid=8e242299-4b30-4515-94c9-10a8f28b239a"]}],"mendeley":{"formattedCitation":"(Olsen, Faucon, &amp; Dillenbourg, 2020)","plainTextFormattedCitation":"(Olsen, Faucon, &amp; Dillenbourg, 2020)","previouslyFormattedCitation":"(Olsen, Faucon, &amp; Dillenbourg, 2020)"},"properties":{"noteIndex":0},"schema":"https://github.com/citation-style-language/schema/raw/master/csl-citation.json"}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 xml:space="preserve">(Olsen, </w:t>
      </w:r>
      <w:proofErr w:type="spellStart"/>
      <w:r w:rsidRPr="000B094B">
        <w:rPr>
          <w:rFonts w:ascii="Palatino Linotype" w:hAnsi="Palatino Linotype"/>
          <w:sz w:val="20"/>
          <w:szCs w:val="20"/>
        </w:rPr>
        <w:t>Faucon</w:t>
      </w:r>
      <w:proofErr w:type="spellEnd"/>
      <w:r w:rsidRPr="000B094B">
        <w:rPr>
          <w:rFonts w:ascii="Palatino Linotype" w:hAnsi="Palatino Linotype"/>
          <w:sz w:val="20"/>
          <w:szCs w:val="20"/>
        </w:rPr>
        <w:t xml:space="preserve">, &amp; </w:t>
      </w:r>
      <w:proofErr w:type="spellStart"/>
      <w:r w:rsidRPr="000B094B">
        <w:rPr>
          <w:rFonts w:ascii="Palatino Linotype" w:hAnsi="Palatino Linotype"/>
          <w:sz w:val="20"/>
          <w:szCs w:val="20"/>
        </w:rPr>
        <w:t>Dillenbourg</w:t>
      </w:r>
      <w:proofErr w:type="spellEnd"/>
      <w:r w:rsidRPr="000B094B">
        <w:rPr>
          <w:rFonts w:ascii="Palatino Linotype" w:hAnsi="Palatino Linotype"/>
          <w:sz w:val="20"/>
          <w:szCs w:val="20"/>
        </w:rPr>
        <w:t>, 2020)</w:t>
      </w:r>
      <w:r w:rsidRPr="000B094B">
        <w:rPr>
          <w:rFonts w:ascii="Palatino Linotype" w:hAnsi="Palatino Linotype"/>
          <w:sz w:val="20"/>
          <w:szCs w:val="20"/>
        </w:rPr>
        <w:fldChar w:fldCharType="end"/>
      </w:r>
      <w:r w:rsidRPr="000B094B">
        <w:rPr>
          <w:rFonts w:ascii="Palatino Linotype" w:hAnsi="Palatino Linotype"/>
          <w:sz w:val="20"/>
          <w:szCs w:val="20"/>
        </w:rPr>
        <w:t>.</w:t>
      </w:r>
    </w:p>
    <w:p w14:paraId="1C3094DB"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Changes in work patterns from home or work from home (WFH) are new habits. For campuses, it is certainly not easy to adapt to flexibility, especially in maintaining the performance of its employees. Changes in teaching patterns using technology and distance learning require the ability to master technology for both lecturers and students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{"citationItems":[{"id":"ITEM-1","itemData":{"DOI":"10.15694/mep.2020.000082.1","ISSN":"2312-7996","abstract":"This article was migrated. The article was marked as recommended. The COVID-19 pandemic has resulted in a massive adaptation in health professions education, with a shift from in-person learning activities to a sudden heavy reliance on internet-mediated education. Some health professions schools will have already had considerable educational technology and cultural infrastructure in place, making such a shift more of a different emphasis in provision. For others, this shift will have been a considerable dislocation for both educators and learners in the provision of education.To aid educators make this shift effectively, this 12 Tips article presents a compendium of key principles and practical recommendations that apply to the modalities that make up online learning. The emphasis is on design features that can be rapidly implemented and optimised for the current pandemic. Where applicable, we have pointed out how these short-term shifts can also be beneficial for the long-term integration of educational technology into the organisations' infrastructure.The need for adaptability on the part of educators and learners is an important over-arching theme. By demonstrating these core values of the health professions school in a time of crisis, the manner in which the shift to online learning is carried out sends its own important message to novice health professionals who are in the process of developing their professional identities as learners and as clinicians.","author":[{"dropping-particle":"","family":"Sandars","given":"John","non-dropping-particle":"","parse-names":false,"suffix":""},{"dropping-particle":"","family":"Correia","given":"Raquel","non-dropping-particle":"","parse-names":false,"suffix":""},{"dropping-particle":"","family":"Dankbaar","given":"Mary","non-dropping-particle":"","parse-names":false,"suffix":""},{"dropping-particle":"","family":"Jong","given":"Peter","non-dropping-particle":"de","parse-names":false,"suffix":""},{"dropping-particle":"","family":"Goh","given":"Poh Sun","non-dropping-particle":"","parse-names":false,"suffix":""},{"dropping-particle":"","family":"Hege","given":"Inga","non-dropping-particle":"","parse-names":false,"suffix":""},{"dropping-particle":"","family":"Masters","given":"Ken","non-dropping-particle":"","parse-names":false,"suffix":""},{"dropping-particle":"","family":"Oh","given":"So-Young","non-dropping-particle":"","parse-names":false,"suffix":""},{"dropping-particle":"","family":"Patel","given":"Rakesh","non-dropping-particle":"","parse-names":false,"suffix":""},{"dropping-particle":"","family":"Premkumar","given":"Kalyani","non-dropping-particle":"","parse-names":false,"suffix":""},{"dropping-particle":"","family":"Webb","given":"Alexandra","non-dropping-particle":"","parse-names":false,"suffix":""},{"dropping-particle":"","family":"Pusic","given":"Martin","non-dropping-particle":"","parse-names":false,"suffix":""}],"container-title":"MedEdPublish","id":"ITEM-1","issued":{"date-parts":[["2020","4","29"]]},"page":"82","title":"Twelve tips for rapidly migrating to online learning during the COVID-19 pandemic","type":"article-journal","volume":"9"},"uris":["http://www.mendeley.com/documents/?uuid=daaae1f5-09ad-4414-b76c-2ec6175d90ec"]}],"mendeley":{"formattedCitation":"(Sandars et al., 2020)","plainTextFormattedCitation":"(Sandars et al., 2020)","previouslyFormattedCitation":"(Sandars et al., 2020)"},"properties":{"noteIndex":0},"schema":"https://github.com/citation-style-language/schema/raw/master/csl-citation.json"}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w:t>
      </w:r>
      <w:proofErr w:type="spellStart"/>
      <w:r w:rsidRPr="000B094B">
        <w:rPr>
          <w:rFonts w:ascii="Palatino Linotype" w:hAnsi="Palatino Linotype"/>
          <w:sz w:val="20"/>
          <w:szCs w:val="20"/>
        </w:rPr>
        <w:t>Sandars</w:t>
      </w:r>
      <w:proofErr w:type="spellEnd"/>
      <w:r w:rsidRPr="000B094B">
        <w:rPr>
          <w:rFonts w:ascii="Palatino Linotype" w:hAnsi="Palatino Linotype"/>
          <w:sz w:val="20"/>
          <w:szCs w:val="20"/>
        </w:rPr>
        <w:t xml:space="preserve"> et al., 2020)</w:t>
      </w:r>
      <w:r w:rsidRPr="000B094B">
        <w:rPr>
          <w:rFonts w:ascii="Palatino Linotype" w:hAnsi="Palatino Linotype"/>
          <w:sz w:val="20"/>
          <w:szCs w:val="20"/>
        </w:rPr>
        <w:fldChar w:fldCharType="end"/>
      </w:r>
      <w:r w:rsidRPr="000B094B">
        <w:rPr>
          <w:rFonts w:ascii="Palatino Linotype" w:hAnsi="Palatino Linotype"/>
          <w:sz w:val="20"/>
          <w:szCs w:val="20"/>
        </w:rPr>
        <w:t xml:space="preserve">. At the very least, lecturers must be able to take advantage of the available channels, such as the Learning Management System, audio-video-based communication media, social media and data storage media that can be used to help quality teaching and learning activities occur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{"citationItems":[{"id":"ITEM-1","itemData":{"DOI":"10.3389/fpos.2021.637344","ISSN":"2673-3145","abstract":"In light of recent crises, not least the COVID-19 pandemic, citizen trust in the political system has been highlighted as one of the central features ensuring citizen compliance and the functioning of democracy. Given its many desirable consequences, one of the key questions is how to increase political trust among ordinary citizens. This paper investigates the role of democratic quality in determining citizens’ trust in the political system. While we know that citizens’ evaluations of democratic performance are a strong predictor of political trust, previous research has shown that trust is not always higher in political systems with higher democratic quality, indicating that democratic performance evaluations do not always correspond to actual democratic quality. Several moderating factors may account for this disconnect between democratic quality and citizens’ evaluations of democratic performance and, ultimately, political trust. For one, citizens may receive different information about the political system; second, they may process this information in different ways; and third, they may have different standards of what democratic quality ought to be. Using survey data from three rounds of the World Values Survey (2005–2020) and aggregate data on democratic quality and other macro determinants of political trust from the V-Dem project and World Development Indicators for 50 democracies around the world, this contribution empirically investigates the complex relationship between democratic quality, democratic performance evaluations, and political trust in multi-level moderated mediation models. Its findings demonstrate that democratic quality affects political trust indirectly through citizens’ democratic performance evaluations and that this indirect effect is stronger for citizens with higher political interest, higher education, and especially those with more liberal conceptions of democracy.","author":[{"dropping-particle":"","family":"Mauk","given":"Marlene","non-dropping-particle":"","parse-names":false,"suffix":""}],"container-title":"Frontiers in Political Science","id":"ITEM-1","issue":"May","issued":{"date-parts":[["2021","5","7"]]},"page":"1-14","title":"Quality of Democracy Makes a Difference, but Not for Everyone: How Political Interest, Education, and Conceptions of Democracy Condition the Relationship Between Democratic Quality and Political Trust","type":"article-journal","volume":"3"},"uris":["http://www.mendeley.com/documents/?uuid=b4a773b5-f04b-456e-bc47-78aa9c9b7e31"]}],"mendeley":{"formattedCitation":"(Mauk, 2021)","plainTextFormattedCitation":"(Mauk, 2021)","previouslyFormattedCitation":"(Mauk, 2021)"},"properties":{"noteIndex":0},"schema":"https://github.com/citation-style-language/schema/raw/master/csl-citation.json"}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w:t>
      </w:r>
      <w:proofErr w:type="spellStart"/>
      <w:r w:rsidRPr="000B094B">
        <w:rPr>
          <w:rFonts w:ascii="Palatino Linotype" w:hAnsi="Palatino Linotype"/>
          <w:sz w:val="20"/>
          <w:szCs w:val="20"/>
        </w:rPr>
        <w:t>Mauk</w:t>
      </w:r>
      <w:proofErr w:type="spellEnd"/>
      <w:r w:rsidRPr="000B094B">
        <w:rPr>
          <w:rFonts w:ascii="Palatino Linotype" w:hAnsi="Palatino Linotype"/>
          <w:sz w:val="20"/>
          <w:szCs w:val="20"/>
        </w:rPr>
        <w:t>, 2021)</w:t>
      </w:r>
      <w:r w:rsidRPr="000B094B">
        <w:rPr>
          <w:rFonts w:ascii="Palatino Linotype" w:hAnsi="Palatino Linotype"/>
          <w:sz w:val="20"/>
          <w:szCs w:val="20"/>
        </w:rPr>
        <w:fldChar w:fldCharType="end"/>
      </w:r>
      <w:r w:rsidRPr="000B094B">
        <w:rPr>
          <w:rFonts w:ascii="Palatino Linotype" w:hAnsi="Palatino Linotype"/>
          <w:sz w:val="20"/>
          <w:szCs w:val="20"/>
        </w:rPr>
        <w:t>.</w:t>
      </w:r>
    </w:p>
    <w:p w14:paraId="4063C663"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The lecture process carried out by lecturers is like the services provided to consumers, in this case students. Lecturers are said to have good performance, if they are able to carry out lectures both face-to-face and online in accordance with lecture quality standards. Lecturers must be able to make learning tools or learning plans that are effectively carried out online including Semester Learning Plans (RPS), selection of learning methods and media, and evaluation instruments.</w:t>
      </w:r>
    </w:p>
    <w:p w14:paraId="0AF90AC3"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Lecturers who have good performance will give satisfaction to students as users of educational services. According to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10.5465/amj.2010.49388995","ISSN":"0001-4273","author":[{"dropping-particle":"","family":"Yuan","given":"Feirong","non-dropping-particle":"","parse-names":false,"suffix":""},{"dropping-particle":"","family":"Woodman","given":"Richard W.","non-dropping-particle":"","parse-names":false,"suffix":""}],"container-title":"Academy of Management Journal","id":"ITEM-1","issue":"2","issued":{"date-parts":[["2010","4"]]},"page":"323-342","title":"Innovative Behavior in the Workplace: The Role of Performance and Image Outcome Expectations","type":"article-journal","volume":"53"},"uris":["http://www.mendeley.com/documents/?uuid=49739c31-bfcb-4275-bc80-e6f50819e59f"]}],"mendeley":{"formattedCitation":"(Yuan &amp; Woodman, 2010)","manualFormatting":"Yuan &amp; Woodman (2010)","plainTextFormattedCitation":"(Yuan &amp; Woodman, 2010)","previouslyFormattedCitation":"(Yuan &amp; Woodman, 2010)"},"properties":{"noteIndex":0},"schema":"https://github.com/citation-style-language/schema/raw/master/csl-citation.json"}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Yuan &amp; Woodman (2010)</w:t>
      </w:r>
      <w:r w:rsidRPr="000B094B">
        <w:rPr>
          <w:rFonts w:ascii="Palatino Linotype" w:hAnsi="Palatino Linotype"/>
          <w:sz w:val="20"/>
          <w:szCs w:val="20"/>
        </w:rPr>
        <w:fldChar w:fldCharType="end"/>
      </w:r>
      <w:r w:rsidRPr="000B094B">
        <w:rPr>
          <w:rFonts w:ascii="Palatino Linotype" w:hAnsi="Palatino Linotype"/>
          <w:sz w:val="20"/>
          <w:szCs w:val="20"/>
        </w:rPr>
        <w:t xml:space="preserve"> satisfaction is a person's feeling of pleasure or disappointment that comes from a comparison between his impression of the performance (outcome) of a product with his expectations.</w:t>
      </w:r>
    </w:p>
    <w:p w14:paraId="3B889C76"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On the other hand, lecturers are also required to re-construct the alignment of the three Outcome Based Education (OBE) components, namely (1) learning outcomes, (2) learning activities, and (3) assessment methods that have been prepared in the Learning Plan. Semester (RPS). Lecturers as an essential component in an education system in tertiary institutions have a responsibility, a very important role in realizing national education goals. In accordance with Article 1 paragraph 14 of Law No. 12 of 2012 concerning Higher Education that lecturers are professional educators and scientists with the main task of transforming, developing and disseminating Science and Technology through Education, Research and Community Service. Changes in the work from home situation also affect lecturers in carrying out the </w:t>
      </w:r>
      <w:proofErr w:type="spellStart"/>
      <w:r w:rsidRPr="000B094B">
        <w:rPr>
          <w:rFonts w:ascii="Palatino Linotype" w:hAnsi="Palatino Linotype"/>
          <w:i/>
          <w:sz w:val="20"/>
          <w:szCs w:val="20"/>
        </w:rPr>
        <w:t>Tridarma</w:t>
      </w:r>
      <w:proofErr w:type="spellEnd"/>
      <w:r w:rsidRPr="000B094B">
        <w:rPr>
          <w:rFonts w:ascii="Palatino Linotype" w:hAnsi="Palatino Linotype"/>
          <w:i/>
          <w:sz w:val="20"/>
          <w:szCs w:val="20"/>
        </w:rPr>
        <w:t xml:space="preserve"> </w:t>
      </w:r>
      <w:r w:rsidRPr="000B094B">
        <w:rPr>
          <w:rFonts w:ascii="Palatino Linotype" w:hAnsi="Palatino Linotype"/>
          <w:sz w:val="20"/>
          <w:szCs w:val="20"/>
        </w:rPr>
        <w:t>of higher education. In addition to the learning and teaching process, lecturers also need to carry out research and community service.</w:t>
      </w:r>
    </w:p>
    <w:p w14:paraId="2F8ACE0F"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But temporarily this cannot work properly because lecturers are expected to reduce activities outside the home, and reduce meetings with the community such as outreach and directions for implementing community service activities because social distancing must be carried out. Until now there is no certainty about how to carry out community service by university lecturers. This situation of uncertainty will affect the performance of lecturers when fulfilling their duties and functions as lecturers required according to Law No. 12 of 2012 concerning higher education.</w:t>
      </w:r>
    </w:p>
    <w:p w14:paraId="6125995E"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Demands to adapt to changes in the learning system as well as demands to master technology in order to be able to run a distance learning system are situations that can make lecturers enter work situations that make them experience work stress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{"citationItems":[{"id":"ITEM-1","itemData":{"DOI":"10.2991/assehr.k.210202.042","abstract":"The Covid-19 pandemic resulted in the learning process being carried out online, even on campuses with face-to-face traditions such as Andalas University. Although Unand has initiated the development of blended-learning, compulsory implementation of online learning is a challenge for lecturers and students. This study aims to examine the effect of communication with lecturers, teamwork, and self-directed learning on student self-confidence regarding the achievement of learning outcomes. The research was conducted with a survey method involving 106 accounting students of Unand. Data was collected by convenience via google form. Data were analyzed using multiple regression. The study results show that lecturer-student communication and the ability to do self-directed learning affect student self-confidence. Meanwhile, the group work carried out did not affect student self-confidence. These findings imply the importance of communication and a willingness to learn independently. In addition, these results also provide messages regarding the development and design of group work.","author":[{"dropping-particle":"","family":"Misra","given":"Fauzan","non-dropping-particle":"","parse-names":false,"suffix":""},{"dropping-particle":"","family":"Mazelfi","given":"Ihsani","non-dropping-particle":"","parse-names":false,"suffix":""}],"container-title":"Proceedings of the 3rd International Conference on Educational Development and Quality Assurance (ICED-QA 2020)","id":"ITEM-1","issued":{"date-parts":[["2021"]]},"page":"225-234","title":"Long-Distance Online Learning During Pandemic: The Role of Communication, Working in Group, and Self- Directed Learning in Developing Student’s Confidence","type":"paper-conference","volume":"506"},"uris":["http://www.mendeley.com/documents/?uuid=152c042d-44a2-4ea0-a0f2-f60afb1d60ee"]}],"mendeley":{"formattedCitation":"(Misra &amp; Mazelfi, 2021)","plainTextFormattedCitation":"(Misra &amp; Mazelfi, 2021)","previouslyFormattedCitation":"(Misra &amp; Mazelfi, 2021)"},"properties":{"noteIndex":0},"schema":"https://github.com/citation-style-language/schema/raw/master/csl-citation.json"}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 xml:space="preserve">(Misra &amp; </w:t>
      </w:r>
      <w:proofErr w:type="spellStart"/>
      <w:r w:rsidRPr="000B094B">
        <w:rPr>
          <w:rFonts w:ascii="Palatino Linotype" w:hAnsi="Palatino Linotype"/>
          <w:sz w:val="20"/>
          <w:szCs w:val="20"/>
        </w:rPr>
        <w:t>Mazelfi</w:t>
      </w:r>
      <w:proofErr w:type="spellEnd"/>
      <w:r w:rsidRPr="000B094B">
        <w:rPr>
          <w:rFonts w:ascii="Palatino Linotype" w:hAnsi="Palatino Linotype"/>
          <w:sz w:val="20"/>
          <w:szCs w:val="20"/>
        </w:rPr>
        <w:t>, 2021)</w:t>
      </w:r>
      <w:r w:rsidRPr="000B094B">
        <w:rPr>
          <w:rFonts w:ascii="Palatino Linotype" w:hAnsi="Palatino Linotype"/>
          <w:sz w:val="20"/>
          <w:szCs w:val="20"/>
        </w:rPr>
        <w:fldChar w:fldCharType="end"/>
      </w:r>
      <w:r w:rsidRPr="000B094B">
        <w:rPr>
          <w:rFonts w:ascii="Palatino Linotype" w:hAnsi="Palatino Linotype"/>
          <w:sz w:val="20"/>
          <w:szCs w:val="20"/>
        </w:rPr>
        <w:t xml:space="preserve">. Outside of the Covid-19 situation with distance learning, the demands of lecturer work have made lecturers experience work stress. A study at the United Kingdom University stated that 47% of lecturers experienced work stress. Research conducted at 17 universities in Australia found that 43% of academic staff and 37% of non-academic staff experienced work stress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{"citationItems":[{"id":"ITEM-1","itemData":{"DOI":"10.1080/0729436052000318569","ISSN":"0729-4360","author":[{"dropping-particle":"","family":"Tytherleigh","given":"M. Y.","non-dropping-particle":"","parse-names":false,"suffix":""},{"dropping-particle":"","family":"Webb","given":"C.","non-dropping-particle":"","parse-names":false,"suffix":""},{"dropping-particle":"","family":"Cooper","given":"C. L.","non-dropping-particle":"","parse-names":false,"suffix":""},{"dropping-particle":"","family":"Ricketts","given":"C.","non-dropping-particle":"","parse-names":false,"suffix":""}],"container-title":"Higher Education Research &amp; Development","id":"ITEM-1","issue":"1","issued":{"date-parts":[["2005","2"]]},"page":"41-61","title":"Occupational stress in UK higher education institutions: a comparative study of all staff categories","type":"article-journal","volume":"24"},"uris":["http://www.mendeley.com/documents/?uuid=0ddf729e-5128-46c0-ac5a-5cde6c1cbf69"]}],"mendeley":{"formattedCitation":"(Tytherleigh, Webb, Cooper, &amp; Ricketts, 2005)","plainTextFormattedCitation":"(Tytherleigh, Webb, Cooper, &amp; Ricketts, 2005)","previouslyFormattedCitation":"(Tytherleigh, Webb, Cooper, &amp; Ricketts, 2005)"},"properties":{"noteIndex":0},"schema":"https://github.com/citation-style-language/schema/raw/master/csl-citation.json"}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w:t>
      </w:r>
      <w:proofErr w:type="spellStart"/>
      <w:r w:rsidRPr="000B094B">
        <w:rPr>
          <w:rFonts w:ascii="Palatino Linotype" w:hAnsi="Palatino Linotype"/>
          <w:sz w:val="20"/>
          <w:szCs w:val="20"/>
        </w:rPr>
        <w:t>Tytherleigh</w:t>
      </w:r>
      <w:proofErr w:type="spellEnd"/>
      <w:r w:rsidRPr="000B094B">
        <w:rPr>
          <w:rFonts w:ascii="Palatino Linotype" w:hAnsi="Palatino Linotype"/>
          <w:sz w:val="20"/>
          <w:szCs w:val="20"/>
        </w:rPr>
        <w:t>, Webb, Cooper, &amp; Ricketts, 2005)</w:t>
      </w:r>
      <w:r w:rsidRPr="000B094B">
        <w:rPr>
          <w:rFonts w:ascii="Palatino Linotype" w:hAnsi="Palatino Linotype"/>
          <w:sz w:val="20"/>
          <w:szCs w:val="20"/>
        </w:rPr>
        <w:fldChar w:fldCharType="end"/>
      </w:r>
      <w:r w:rsidRPr="000B094B">
        <w:rPr>
          <w:rFonts w:ascii="Palatino Linotype" w:hAnsi="Palatino Linotype"/>
          <w:sz w:val="20"/>
          <w:szCs w:val="20"/>
        </w:rPr>
        <w:t xml:space="preserve">. In Indonesia, the results of </w:t>
      </w:r>
      <w:proofErr w:type="spellStart"/>
      <w:r w:rsidRPr="000B094B">
        <w:rPr>
          <w:rFonts w:ascii="Palatino Linotype" w:hAnsi="Palatino Linotype"/>
          <w:sz w:val="20"/>
          <w:szCs w:val="20"/>
        </w:rPr>
        <w:t>Kusnadi's</w:t>
      </w:r>
      <w:proofErr w:type="spellEnd"/>
      <w:r w:rsidRPr="000B094B">
        <w:rPr>
          <w:rFonts w:ascii="Palatino Linotype" w:hAnsi="Palatino Linotype"/>
          <w:sz w:val="20"/>
          <w:szCs w:val="20"/>
        </w:rPr>
        <w:t xml:space="preserve"> research (2014) show that work stress is influenced by the workload of lecturers </w:t>
      </w:r>
      <w:r w:rsidRPr="000B094B">
        <w:rPr>
          <w:rFonts w:ascii="Palatino Linotype" w:hAnsi="Palatino Linotype"/>
          <w:sz w:val="20"/>
          <w:szCs w:val="20"/>
        </w:rPr>
        <w:fldChar w:fldCharType="begin" w:fldLock="1"/>
      </w:r>
      <w:r w:rsidRPr="000B094B">
        <w:rPr>
          <w:rFonts w:ascii="Palatino Linotype" w:hAnsi="Palatino Linotype"/>
          <w:sz w:val="20"/>
          <w:szCs w:val="20"/>
        </w:rPr>
        <w:instrText>ADDIN CSL_CITATION {"citationItems":[{"id":"ITEM-1","itemData":{"DOI":"10.3390/socsci12030153","ISSN":"2076-0760","abstract":"Creating job satisfaction for employees can help organizations maintain their employees and save more on costs from searching for new ones. Therefore, a primary goal of this research was to investigate how work–family conflict, workload, and job stress influenced university lecturers’ work satisfaction. To accomplish the current aim, researchers invited 450 respondents who were holding positions as lecturers at any university in Thailand. Next, a structural equation model was employed to analyze 387 valid data points. In gender statistics, 45.2% were male respondents while 54.8% were female respondents. Moreover, gender obtained mean scores (1.54) with standard deviation scores (0.49). Based on age statistics, most of the respondents who joined this research were between 20 and 30 years old (41.3%) followed by 31–41 years (24.5%), 41–50 years (19.9%), and above 50 years (14.2%). Meanwhile, mean scores were 2.07 with standard deviation 1.09. According to results of this research, increasing work–family conflict and workload caused lecturers to receive more stress from their work. Moreover, the lecturers found themselves happy once certain degrees of stress and work–family conflict, except workload, diminished. Meanwhile, stress among university lecturers significantly mediated their workloads and work satisfaction. This result highlights a side effect of a certain amount of workload influencing lecturers’ stress levels, which in turn increased the significant role of job stress in further influencing lecturers’ work satisfaction.","author":[{"dropping-particle":"","family":"Kim","given":"Long","non-dropping-particle":"","parse-names":false,"suffix":""},{"dropping-particle":"","family":"Pongsakornrungsilp","given":"Pimlapas","non-dropping-particle":"","parse-names":false,"suffix":""},{"dropping-particle":"","family":"Pongsakornrungsilp","given":"Siwarit","non-dropping-particle":"","parse-names":false,"suffix":""},{"dropping-particle":"","family":"Horam","given":"Ngachonpam","non-dropping-particle":"","parse-names":false,"suffix":""},{"dropping-particle":"","family":"Kumar","given":"Vikas","non-dropping-particle":"","parse-names":false,"suffix":""}],"container-title":"Social Sciences","id":"ITEM-1","issue":"3","issued":{"date-parts":[["2023","3","6"]]},"page":"153","title":"Key Determinants of Job Satisfaction among University Lecturers","type":"article-journal","volume":"12"},"uris":["http://www.mendeley.com/documents/?uuid=64c621f7-04b3-43c4-88aa-702053f26327"]}],"mendeley":{"formattedCitation":"(Kim, Pongsakornrungsilp, Pongsakornrungsilp, Horam, &amp; Kumar, 2023)","plainTextFormattedCitation":"(Kim, Pongsakornrungsilp, Pongsakornrungsilp, Horam, &amp; Kumar, 2023)","previouslyFormattedCitation":"(Kim, Pongsakornrungsilp, Pongsakornrungsilp, Horam, &amp; Kumar, 2023)"},"properties":{"noteIndex":0},"schema":"https://github.com/citation-style-language/schema/raw/master/csl-citation.json"}</w:instrText>
      </w:r>
      <w:r w:rsidRPr="000B094B">
        <w:rPr>
          <w:rFonts w:ascii="Palatino Linotype" w:hAnsi="Palatino Linotype"/>
          <w:sz w:val="20"/>
          <w:szCs w:val="20"/>
        </w:rPr>
        <w:fldChar w:fldCharType="separate"/>
      </w:r>
      <w:r w:rsidRPr="000B094B">
        <w:rPr>
          <w:rFonts w:ascii="Palatino Linotype" w:hAnsi="Palatino Linotype"/>
          <w:sz w:val="20"/>
          <w:szCs w:val="20"/>
        </w:rPr>
        <w:t xml:space="preserve">(Kim, </w:t>
      </w:r>
      <w:proofErr w:type="spellStart"/>
      <w:r w:rsidRPr="000B094B">
        <w:rPr>
          <w:rFonts w:ascii="Palatino Linotype" w:hAnsi="Palatino Linotype"/>
          <w:sz w:val="20"/>
          <w:szCs w:val="20"/>
        </w:rPr>
        <w:t>Pongsakornrungsilp</w:t>
      </w:r>
      <w:proofErr w:type="spellEnd"/>
      <w:r w:rsidRPr="000B094B">
        <w:rPr>
          <w:rFonts w:ascii="Palatino Linotype" w:hAnsi="Palatino Linotype"/>
          <w:sz w:val="20"/>
          <w:szCs w:val="20"/>
        </w:rPr>
        <w:t xml:space="preserve">, </w:t>
      </w:r>
      <w:proofErr w:type="spellStart"/>
      <w:r w:rsidRPr="000B094B">
        <w:rPr>
          <w:rFonts w:ascii="Palatino Linotype" w:hAnsi="Palatino Linotype"/>
          <w:sz w:val="20"/>
          <w:szCs w:val="20"/>
        </w:rPr>
        <w:t>Pongsakornrungsilp</w:t>
      </w:r>
      <w:proofErr w:type="spellEnd"/>
      <w:r w:rsidRPr="000B094B">
        <w:rPr>
          <w:rFonts w:ascii="Palatino Linotype" w:hAnsi="Palatino Linotype"/>
          <w:sz w:val="20"/>
          <w:szCs w:val="20"/>
        </w:rPr>
        <w:t xml:space="preserve">, </w:t>
      </w:r>
      <w:proofErr w:type="spellStart"/>
      <w:r w:rsidRPr="000B094B">
        <w:rPr>
          <w:rFonts w:ascii="Palatino Linotype" w:hAnsi="Palatino Linotype"/>
          <w:sz w:val="20"/>
          <w:szCs w:val="20"/>
        </w:rPr>
        <w:t>Horam</w:t>
      </w:r>
      <w:proofErr w:type="spellEnd"/>
      <w:r w:rsidRPr="000B094B">
        <w:rPr>
          <w:rFonts w:ascii="Palatino Linotype" w:hAnsi="Palatino Linotype"/>
          <w:sz w:val="20"/>
          <w:szCs w:val="20"/>
        </w:rPr>
        <w:t>, &amp; Kumar, 2023)</w:t>
      </w:r>
      <w:r w:rsidRPr="000B094B">
        <w:rPr>
          <w:rFonts w:ascii="Palatino Linotype" w:hAnsi="Palatino Linotype"/>
          <w:sz w:val="20"/>
          <w:szCs w:val="20"/>
        </w:rPr>
        <w:fldChar w:fldCharType="end"/>
      </w:r>
      <w:r w:rsidRPr="000B094B">
        <w:rPr>
          <w:rFonts w:ascii="Palatino Linotype" w:hAnsi="Palatino Linotype"/>
          <w:sz w:val="20"/>
          <w:szCs w:val="20"/>
        </w:rPr>
        <w:t>. The uncertain situation of the Covid-19 pandemic requires that lecturers apart from carrying out their routine duties are also required to master technology and learn quickly the process of distance learning through technology 4.0. This situation can be a trigger for the occurrence of work stress for lecturers.</w:t>
      </w:r>
    </w:p>
    <w:p w14:paraId="34857296"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Students are expected to learn independently. The independent learning method requires students to learn on their own initiative. Independent learning can be done alone or in groups, both in study groups and in tutorial groups. Nusantara Muslim University Al </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xml:space="preserve"> provides teaching materials designed to be studied independently. Apart from using teaching materials provided by Nusantara Muslim University Al </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xml:space="preserve">, students can also take the initiative to utilize other reading materials in the library following tutorials, both face-to-face and via the internet, radio and television; as well as utilizing other learning resources such as computer-assisted teaching materials and audio/video programs. If they experience learning difficulties, students can request information about study assistance from the Muslim Nusantara Al </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xml:space="preserve"> University.</w:t>
      </w:r>
    </w:p>
    <w:p w14:paraId="62E20362"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Independent learning in many ways is determined by the ability to learn effectively. Learning ability depends on the speed of reading and the ability to understand the contents of the reading. To be able to study independently effectively, students at the Muslim Nusantara Al </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xml:space="preserve"> University are required to have self-discipline, initiative, and strong motivation to learn. Students are also required to be able to manage their time efficiently, so they can study regularly based on a self-determined study schedule. Therefore, in order to be able to study successfully at Nusantara Muslim University Al </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prospective students must be prepared to study independently.</w:t>
      </w:r>
    </w:p>
    <w:p w14:paraId="446B34E6"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Nusantara Muslim University Al </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like other tertiary institutions, implements a Semester Credit System (SKS) to determine student study load. In this system, the study load that must be completed in one study program is measured in semester credit units (credits). Each course is given a weight of 1-6 credits. One semester is a unit of study time for approximately 16 weeks.</w:t>
      </w:r>
    </w:p>
    <w:p w14:paraId="06A81827" w14:textId="77777777" w:rsid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In face-to-face higher education, students who take one credit </w:t>
      </w:r>
      <w:proofErr w:type="spellStart"/>
      <w:r w:rsidRPr="000B094B">
        <w:rPr>
          <w:rFonts w:ascii="Palatino Linotype" w:hAnsi="Palatino Linotype"/>
          <w:sz w:val="20"/>
          <w:szCs w:val="20"/>
        </w:rPr>
        <w:t>credit</w:t>
      </w:r>
      <w:proofErr w:type="spellEnd"/>
      <w:r w:rsidRPr="000B094B">
        <w:rPr>
          <w:rFonts w:ascii="Palatino Linotype" w:hAnsi="Palatino Linotype"/>
          <w:sz w:val="20"/>
          <w:szCs w:val="20"/>
        </w:rPr>
        <w:t xml:space="preserve"> study load must attend lectures for one hour per week in class and one hour for practice, practicum, or study at home, so that in one semester students must allocate around 32 hours of study time. To take courses that weigh 3 credits, it takes about 96 hours of study per semester.</w:t>
      </w:r>
      <w:r>
        <w:rPr>
          <w:rFonts w:ascii="Palatino Linotype" w:hAnsi="Palatino Linotype"/>
          <w:sz w:val="20"/>
          <w:szCs w:val="20"/>
        </w:rPr>
        <w:t xml:space="preserve"> </w:t>
      </w:r>
      <w:r w:rsidRPr="000B094B">
        <w:rPr>
          <w:rFonts w:ascii="Palatino Linotype" w:hAnsi="Palatino Linotype"/>
          <w:sz w:val="20"/>
          <w:szCs w:val="20"/>
        </w:rPr>
        <w:t>In the distance education system, students must also allocate the same time as face-to-face students (2 hours per week per credit). It's just that learning activities are mostly carried out independently (self-study, group study, or tutorials).</w:t>
      </w:r>
    </w:p>
    <w:p w14:paraId="056E4500" w14:textId="4CD0F086" w:rsidR="000B094B" w:rsidRPr="000B094B" w:rsidRDefault="000B094B" w:rsidP="000B094B">
      <w:pPr>
        <w:pStyle w:val="root-block-node"/>
        <w:ind w:firstLine="426"/>
        <w:jc w:val="both"/>
        <w:rPr>
          <w:rFonts w:ascii="Palatino Linotype" w:hAnsi="Palatino Linotype"/>
          <w:sz w:val="20"/>
          <w:szCs w:val="20"/>
        </w:rPr>
      </w:pPr>
      <w:r w:rsidRPr="000B094B">
        <w:rPr>
          <w:rFonts w:ascii="Palatino Linotype" w:hAnsi="Palatino Linotype"/>
          <w:sz w:val="20"/>
          <w:szCs w:val="20"/>
        </w:rPr>
        <w:t xml:space="preserve">However, apart from the advantages and disadvantages possessed by the online learning system, there is an important question regarding the performance expectations of the system for users of the online learning system. Can online learning systems provide good performance expectations for students and teachers who have used them? It is said to be good, of course, when compared to conventional learning systems. With an online learning system, teachers cannot know what students are doing during the lecture process at the Muslim Nusantara Al </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xml:space="preserve"> University. They also cannot easily ascertain whether students have understood the material that has been taught properly. On the other hand, many students also say that it is impossible to understand material well without face-to-face teaching. These things can create poor performance expectations in online learning systems when compared to conventional learning systems. </w:t>
      </w:r>
      <w:proofErr w:type="gramStart"/>
      <w:r w:rsidRPr="000B094B">
        <w:rPr>
          <w:rFonts w:ascii="Palatino Linotype" w:hAnsi="Palatino Linotype"/>
          <w:sz w:val="20"/>
          <w:szCs w:val="20"/>
        </w:rPr>
        <w:t>Therefore</w:t>
      </w:r>
      <w:proofErr w:type="gramEnd"/>
      <w:r w:rsidRPr="000B094B">
        <w:rPr>
          <w:rFonts w:ascii="Palatino Linotype" w:hAnsi="Palatino Linotype"/>
          <w:sz w:val="20"/>
          <w:szCs w:val="20"/>
        </w:rPr>
        <w:t xml:space="preserve"> this study aims to describe the influence of the online learning system on the professionalism of the performance of Al-</w:t>
      </w:r>
      <w:proofErr w:type="spellStart"/>
      <w:r w:rsidRPr="000B094B">
        <w:rPr>
          <w:rFonts w:ascii="Palatino Linotype" w:hAnsi="Palatino Linotype"/>
          <w:sz w:val="20"/>
          <w:szCs w:val="20"/>
        </w:rPr>
        <w:t>Washliyah</w:t>
      </w:r>
      <w:proofErr w:type="spellEnd"/>
      <w:r w:rsidRPr="000B094B">
        <w:rPr>
          <w:rFonts w:ascii="Palatino Linotype" w:hAnsi="Palatino Linotype"/>
          <w:sz w:val="20"/>
          <w:szCs w:val="20"/>
        </w:rPr>
        <w:t xml:space="preserve"> UMN Lecturers</w:t>
      </w:r>
      <w:r>
        <w:rPr>
          <w:rFonts w:ascii="Palatino Linotype" w:hAnsi="Palatino Linotype"/>
          <w:sz w:val="20"/>
          <w:szCs w:val="20"/>
        </w:rPr>
        <w:t>.</w:t>
      </w:r>
    </w:p>
    <w:p w14:paraId="24EB29D1" w14:textId="77777777" w:rsidR="00357F3F" w:rsidRPr="00B96E43" w:rsidRDefault="00357F3F" w:rsidP="00357F3F">
      <w:pPr>
        <w:pStyle w:val="Alishlah21heading1"/>
        <w:rPr>
          <w:rFonts w:eastAsia="Arial"/>
          <w:szCs w:val="20"/>
        </w:rPr>
      </w:pPr>
      <w:r w:rsidRPr="00B96E43">
        <w:rPr>
          <w:rFonts w:eastAsia="Arial"/>
          <w:szCs w:val="20"/>
        </w:rPr>
        <w:t xml:space="preserve">METHODS </w:t>
      </w:r>
    </w:p>
    <w:p w14:paraId="6F0D59F0" w14:textId="77777777" w:rsidR="000B094B" w:rsidRDefault="000B094B" w:rsidP="000B094B">
      <w:pPr>
        <w:pStyle w:val="Alishlah31text"/>
        <w:rPr>
          <w:spacing w:val="-2"/>
          <w:szCs w:val="20"/>
          <w:lang w:eastAsia="zh-CN"/>
        </w:rPr>
      </w:pPr>
      <w:r w:rsidRPr="000B094B">
        <w:rPr>
          <w:spacing w:val="-2"/>
          <w:szCs w:val="20"/>
          <w:lang w:eastAsia="zh-CN"/>
        </w:rPr>
        <w:t xml:space="preserve">This research uses a descriptive qualitative research method. A qualitative descriptive research method is a type, design, or research design that is commonly used to examine natural research objects or in real conditions and not set up as in experiments in this context, namely, the influence of the attitude of leaders and the work environment on the professionalism of the performance of the Muslim Nusantara University Al </w:t>
      </w:r>
      <w:proofErr w:type="spellStart"/>
      <w:r w:rsidRPr="000B094B">
        <w:rPr>
          <w:spacing w:val="-2"/>
          <w:szCs w:val="20"/>
          <w:lang w:eastAsia="zh-CN"/>
        </w:rPr>
        <w:t>Washliyah</w:t>
      </w:r>
      <w:proofErr w:type="spellEnd"/>
      <w:r w:rsidRPr="000B094B">
        <w:rPr>
          <w:spacing w:val="-2"/>
          <w:szCs w:val="20"/>
          <w:lang w:eastAsia="zh-CN"/>
        </w:rPr>
        <w:t xml:space="preserve"> </w:t>
      </w:r>
      <w:r w:rsidRPr="000B094B">
        <w:rPr>
          <w:spacing w:val="-2"/>
          <w:szCs w:val="20"/>
          <w:lang w:eastAsia="zh-CN"/>
        </w:rPr>
        <w:fldChar w:fldCharType="begin" w:fldLock="1"/>
      </w:r>
      <w:r w:rsidRPr="000B094B">
        <w:rPr>
          <w:spacing w:val="-2"/>
          <w:szCs w:val="20"/>
          <w:lang w:eastAsia="zh-CN"/>
        </w:rPr>
        <w:instrText>ADDIN CSL_CITATION {"citationItems":[{"id":"ITEM-1","itemData":{"ISBN":"978-1506386706","author":[{"dropping-particle":"","family":"Creswell","given":"John W.","non-dropping-particle":"","parse-names":false,"suffix":""},{"dropping-particle":"","family":"Creswell","given":"J. David","non-dropping-particle":"","parse-names":false,"suffix":""}],"edition":"5","id":"ITEM-1","issued":{"date-parts":[["2018"]]},"number-of-pages":"1-304","publisher":"SAGE Publications, Inc","publisher-place":"Thousand Oaks, California","title":"Research Design: Qualitative, Quantitative, and Mixed Methods Approaches","type":"book"},"uris":["http://www.mendeley.com/documents/?uuid=586e0a71-961d-4f26-a51f-8222dd7cb5bb"]}],"mendeley":{"formattedCitation":"(Creswell &amp; Creswell, 2018)","plainTextFormattedCitation":"(Creswell &amp; Creswell, 2018)","previouslyFormattedCitation":"(Creswell &amp; Creswell, 2018)"},"properties":{"noteIndex":0},"schema":"https://github.com/citation-style-language/schema/raw/master/csl-citation.json"}</w:instrText>
      </w:r>
      <w:r w:rsidRPr="000B094B">
        <w:rPr>
          <w:spacing w:val="-2"/>
          <w:szCs w:val="20"/>
          <w:lang w:eastAsia="zh-CN"/>
        </w:rPr>
        <w:fldChar w:fldCharType="separate"/>
      </w:r>
      <w:r w:rsidRPr="000B094B">
        <w:rPr>
          <w:spacing w:val="-2"/>
          <w:szCs w:val="20"/>
          <w:lang w:eastAsia="zh-CN"/>
        </w:rPr>
        <w:t>(Creswell &amp; Creswell, 2018)</w:t>
      </w:r>
      <w:r w:rsidRPr="000B094B">
        <w:rPr>
          <w:spacing w:val="-2"/>
          <w:szCs w:val="20"/>
          <w:lang w:eastAsia="zh-CN"/>
        </w:rPr>
        <w:fldChar w:fldCharType="end"/>
      </w:r>
      <w:r w:rsidRPr="000B094B">
        <w:rPr>
          <w:spacing w:val="-2"/>
          <w:szCs w:val="20"/>
          <w:lang w:eastAsia="zh-CN"/>
        </w:rPr>
        <w:t xml:space="preserve">. Descriptive itself means that the results of the research will be described as clearly as possible based on the research that has been done without drawing any conclusions based on the results of the research </w:t>
      </w:r>
      <w:r w:rsidRPr="000B094B">
        <w:rPr>
          <w:spacing w:val="-2"/>
          <w:szCs w:val="20"/>
          <w:lang w:eastAsia="zh-CN"/>
        </w:rPr>
        <w:fldChar w:fldCharType="begin" w:fldLock="1"/>
      </w:r>
      <w:r w:rsidRPr="000B094B">
        <w:rPr>
          <w:spacing w:val="-2"/>
          <w:szCs w:val="20"/>
          <w:lang w:eastAsia="zh-CN"/>
        </w:rPr>
        <w:instrText>ADDIN CSL_CITATION {"citationItems":[{"id":"ITEM-1","itemData":{"DOI":"10.2478/jesm-2022-0011","ISSN":"2734-4754","abstract":"This study aims to describe the role of Siauw Giok Tjhan and Abdurrahman Wahid in mainstreaming the discourse of ethnic Chinese citizenship into an integral part of the Indonesian nation. This study uses historical research methods. The results showed that Siauw Giok Tjhan through Baperki (Indonesian Citizenship Consultative Body) an organization founded in 1954 had helped ethnic Chinese from discriminatory policies in order to obtain Indonesian citizen status (WNI). Siauw Giok Tjhan suggested that the ethnic Chinese should carry out a proper integration into the Indonesian nation-society. Through the concept of fair integration, Siauw Giok Tjhan tries to instill awareness in the ethnic Chinese about their Indonesian identity and nation building. However, the political changes after the G30S 1965 have become a setback for the ethnic Chinese to integrate. When Abdurrahman Wahid was president, various policies were carried out to assist ethnic Chinese in the integration process and eliminate discriminatory policies. The strengthening of identity politics today is also due to the absence of these two national figures.","author":[{"dropping-particle":"","family":"Fikri","given":"Asyrul","non-dropping-particle":"","parse-names":false,"suffix":""},{"dropping-particle":"","family":"Hasudungan","given":"Anju Nofarof","non-dropping-particle":"","parse-names":false,"suffix":""}],"container-title":"Journal of Education, Society &amp; Multiculturalism","id":"ITEM-1","issue":"1","issued":{"date-parts":[["2022","6","1"]]},"page":"181-200","title":"Siauw Giok Tjhan and Abdurrahman Wahid: History of Chinese Citizenship in Indonesia","type":"article-journal","volume":"3"},"uris":["http://www.mendeley.com/documents/?uuid=561f5498-c736-40fc-bac7-1f224943f41f"]}],"mendeley":{"formattedCitation":"(Fikri &amp; Hasudungan, 2022)","plainTextFormattedCitation":"(Fikri &amp; Hasudungan, 2022)","previouslyFormattedCitation":"(Fikri &amp; Hasudungan, 2022)"},"properties":{"noteIndex":0},"schema":"https://github.com/citation-style-language/schema/raw/master/csl-citation.json"}</w:instrText>
      </w:r>
      <w:r w:rsidRPr="000B094B">
        <w:rPr>
          <w:spacing w:val="-2"/>
          <w:szCs w:val="20"/>
          <w:lang w:eastAsia="zh-CN"/>
        </w:rPr>
        <w:fldChar w:fldCharType="separate"/>
      </w:r>
      <w:r w:rsidRPr="000B094B">
        <w:rPr>
          <w:spacing w:val="-2"/>
          <w:szCs w:val="20"/>
          <w:lang w:eastAsia="zh-CN"/>
        </w:rPr>
        <w:t>(</w:t>
      </w:r>
      <w:proofErr w:type="spellStart"/>
      <w:r w:rsidRPr="000B094B">
        <w:rPr>
          <w:spacing w:val="-2"/>
          <w:szCs w:val="20"/>
          <w:lang w:eastAsia="zh-CN"/>
        </w:rPr>
        <w:t>Fikri</w:t>
      </w:r>
      <w:proofErr w:type="spellEnd"/>
      <w:r w:rsidRPr="000B094B">
        <w:rPr>
          <w:spacing w:val="-2"/>
          <w:szCs w:val="20"/>
          <w:lang w:eastAsia="zh-CN"/>
        </w:rPr>
        <w:t xml:space="preserve"> &amp; </w:t>
      </w:r>
      <w:proofErr w:type="spellStart"/>
      <w:r w:rsidRPr="000B094B">
        <w:rPr>
          <w:spacing w:val="-2"/>
          <w:szCs w:val="20"/>
          <w:lang w:eastAsia="zh-CN"/>
        </w:rPr>
        <w:t>Hasudungan</w:t>
      </w:r>
      <w:proofErr w:type="spellEnd"/>
      <w:r w:rsidRPr="000B094B">
        <w:rPr>
          <w:spacing w:val="-2"/>
          <w:szCs w:val="20"/>
          <w:lang w:eastAsia="zh-CN"/>
        </w:rPr>
        <w:t>, 2022)</w:t>
      </w:r>
      <w:r w:rsidRPr="000B094B">
        <w:rPr>
          <w:spacing w:val="-2"/>
          <w:szCs w:val="20"/>
          <w:lang w:eastAsia="zh-CN"/>
        </w:rPr>
        <w:fldChar w:fldCharType="end"/>
      </w:r>
      <w:r w:rsidRPr="000B094B">
        <w:rPr>
          <w:spacing w:val="-2"/>
          <w:szCs w:val="20"/>
          <w:lang w:eastAsia="zh-CN"/>
        </w:rPr>
        <w:t>.</w:t>
      </w:r>
    </w:p>
    <w:p w14:paraId="3227895F" w14:textId="2C706632" w:rsidR="000B094B" w:rsidRPr="000B094B" w:rsidRDefault="000B094B" w:rsidP="000B094B">
      <w:pPr>
        <w:pStyle w:val="Alishlah31text"/>
        <w:rPr>
          <w:spacing w:val="-2"/>
          <w:szCs w:val="20"/>
          <w:lang w:eastAsia="zh-CN"/>
        </w:rPr>
      </w:pPr>
      <w:r w:rsidRPr="000B094B">
        <w:rPr>
          <w:spacing w:val="-2"/>
          <w:szCs w:val="20"/>
          <w:lang w:eastAsia="zh-CN"/>
        </w:rPr>
        <w:t xml:space="preserve">Qualitative research is a research process to understand human or social phenomena by creating a comprehensive and complex picture that can be presented in words, reporting detailed views obtained from informant sources, and carried out in natural settings. Qualitative research is descriptive in nature and tends to use an inductive analysis approach, so that processes and meanings based on the subject's perspective are highlighted in this qualitative research </w:t>
      </w:r>
      <w:r w:rsidRPr="000B094B">
        <w:rPr>
          <w:spacing w:val="-2"/>
          <w:szCs w:val="20"/>
          <w:lang w:eastAsia="zh-CN"/>
        </w:rPr>
        <w:fldChar w:fldCharType="begin" w:fldLock="1"/>
      </w:r>
      <w:r w:rsidRPr="000B094B">
        <w:rPr>
          <w:spacing w:val="-2"/>
          <w:szCs w:val="20"/>
          <w:lang w:eastAsia="zh-CN"/>
        </w:rPr>
        <w:instrText>ADDIN CSL_CITATION {"citationItems":[{"id":"ITEM-1","itemData":{"DOI":"10.26737/jetl.v7i2.3350","ISSN":"2477-8478","abstract":"The formation of student character requires relevant teaching materials. One of the efforts to provide appropriate teaching materials is to explore the content of ancient manuscripts. Through the Research and Development (R &amp;amp; D) method from old manuscripts to help make the high school curriculum. It is hoped that the application of learning models that are sourced from old texts will be designed to be more attractive and of high quality so that students are more interested in taking language education lessons. The final goal that is expected is that the results of language education learning can shape the character of the nation and fortify our young generation from disgraceful acts so that during their leadership, disgraceful acts are increasingly unheard. To achieve this goal, it is necessary to revitalize ancient manuscripts as language-learning materials in Sumatra. To shape human character, teaching materials from classical Malay ancient manuscripts are needed. The results showed that using the old text as a language learning material can shape the character of students.","author":[{"dropping-particle":"","family":"Hasibuan","given":"Ahmad Laut","non-dropping-particle":"","parse-names":false,"suffix":""},{"dropping-particle":"","family":"Matondang","given":"Saiful Anwar","non-dropping-particle":"","parse-names":false,"suffix":""},{"dropping-particle":"","family":"Nababan","given":"Surya Aymanda","non-dropping-particle":"","parse-names":false,"suffix":""}],"container-title":"JETL (Journal of Education, Teaching and Learning)","id":"ITEM-1","issue":"2","issued":{"date-parts":[["2022","9","30"]]},"page":"218-223","title":"Use of Islamic Malay Texts in Language Learning for Character Building","type":"article-journal","volume":"7"},"uris":["http://www.mendeley.com/documents/?uuid=e5743c89-40ce-4208-8fbc-2f5c7af1f3cd"]}],"mendeley":{"formattedCitation":"(A. L. Hasibuan, Matondang, &amp; Nababan, 2022)","plainTextFormattedCitation":"(A. L. Hasibuan, Matondang, &amp; Nababan, 2022)","previouslyFormattedCitation":"(A. L. Hasibuan, Matondang, &amp; Nababan, 2022)"},"properties":{"noteIndex":0},"schema":"https://github.com/citation-style-language/schema/raw/master/csl-citation.json"}</w:instrText>
      </w:r>
      <w:r w:rsidRPr="000B094B">
        <w:rPr>
          <w:spacing w:val="-2"/>
          <w:szCs w:val="20"/>
          <w:lang w:eastAsia="zh-CN"/>
        </w:rPr>
        <w:fldChar w:fldCharType="separate"/>
      </w:r>
      <w:r w:rsidRPr="000B094B">
        <w:rPr>
          <w:spacing w:val="-2"/>
          <w:szCs w:val="20"/>
          <w:lang w:eastAsia="zh-CN"/>
        </w:rPr>
        <w:t xml:space="preserve">(A. L. </w:t>
      </w:r>
      <w:proofErr w:type="spellStart"/>
      <w:r w:rsidRPr="000B094B">
        <w:rPr>
          <w:spacing w:val="-2"/>
          <w:szCs w:val="20"/>
          <w:lang w:eastAsia="zh-CN"/>
        </w:rPr>
        <w:t>Hasibuan</w:t>
      </w:r>
      <w:proofErr w:type="spellEnd"/>
      <w:r w:rsidRPr="000B094B">
        <w:rPr>
          <w:spacing w:val="-2"/>
          <w:szCs w:val="20"/>
          <w:lang w:eastAsia="zh-CN"/>
        </w:rPr>
        <w:t xml:space="preserve">, </w:t>
      </w:r>
      <w:proofErr w:type="spellStart"/>
      <w:r w:rsidRPr="000B094B">
        <w:rPr>
          <w:spacing w:val="-2"/>
          <w:szCs w:val="20"/>
          <w:lang w:eastAsia="zh-CN"/>
        </w:rPr>
        <w:t>Matondang</w:t>
      </w:r>
      <w:proofErr w:type="spellEnd"/>
      <w:r w:rsidRPr="000B094B">
        <w:rPr>
          <w:spacing w:val="-2"/>
          <w:szCs w:val="20"/>
          <w:lang w:eastAsia="zh-CN"/>
        </w:rPr>
        <w:t xml:space="preserve">, &amp; </w:t>
      </w:r>
      <w:proofErr w:type="spellStart"/>
      <w:r w:rsidRPr="000B094B">
        <w:rPr>
          <w:spacing w:val="-2"/>
          <w:szCs w:val="20"/>
          <w:lang w:eastAsia="zh-CN"/>
        </w:rPr>
        <w:t>Nababan</w:t>
      </w:r>
      <w:proofErr w:type="spellEnd"/>
      <w:r w:rsidRPr="000B094B">
        <w:rPr>
          <w:spacing w:val="-2"/>
          <w:szCs w:val="20"/>
          <w:lang w:eastAsia="zh-CN"/>
        </w:rPr>
        <w:t>, 2022)</w:t>
      </w:r>
      <w:r w:rsidRPr="000B094B">
        <w:rPr>
          <w:spacing w:val="-2"/>
          <w:szCs w:val="20"/>
          <w:lang w:eastAsia="zh-CN"/>
        </w:rPr>
        <w:fldChar w:fldCharType="end"/>
      </w:r>
      <w:r w:rsidRPr="000B094B">
        <w:rPr>
          <w:spacing w:val="-2"/>
          <w:szCs w:val="20"/>
          <w:lang w:eastAsia="zh-CN"/>
        </w:rPr>
        <w:t>.</w:t>
      </w:r>
    </w:p>
    <w:p w14:paraId="5EB0794A" w14:textId="31CDCDA4" w:rsidR="00626BB2" w:rsidRDefault="000B094B" w:rsidP="000B094B">
      <w:pPr>
        <w:pStyle w:val="Alishlah31text"/>
        <w:rPr>
          <w:spacing w:val="-2"/>
          <w:szCs w:val="20"/>
          <w:lang w:eastAsia="zh-CN"/>
        </w:rPr>
      </w:pPr>
      <w:r w:rsidRPr="000B094B">
        <w:rPr>
          <w:spacing w:val="-2"/>
          <w:szCs w:val="20"/>
          <w:lang w:val="en-ID" w:eastAsia="zh-CN"/>
        </w:rPr>
        <w:t xml:space="preserve">In a study, data needs to be </w:t>
      </w:r>
      <w:proofErr w:type="spellStart"/>
      <w:r w:rsidRPr="000B094B">
        <w:rPr>
          <w:spacing w:val="-2"/>
          <w:szCs w:val="20"/>
          <w:lang w:val="en-ID" w:eastAsia="zh-CN"/>
        </w:rPr>
        <w:t>analyzed</w:t>
      </w:r>
      <w:proofErr w:type="spellEnd"/>
      <w:r w:rsidRPr="000B094B">
        <w:rPr>
          <w:spacing w:val="-2"/>
          <w:szCs w:val="20"/>
          <w:lang w:val="en-ID" w:eastAsia="zh-CN"/>
        </w:rPr>
        <w:t xml:space="preserve"> to provide great insights and influential trends that allow the next batch of content to be created to the liking or liking of the general population. This type of qualitative descriptive data analysis technique is a research method that utilizes qualitative data and is described descriptively. This type of qualitative descriptive data analysis is often used to </w:t>
      </w:r>
      <w:proofErr w:type="spellStart"/>
      <w:r w:rsidRPr="000B094B">
        <w:rPr>
          <w:spacing w:val="-2"/>
          <w:szCs w:val="20"/>
          <w:lang w:val="en-ID" w:eastAsia="zh-CN"/>
        </w:rPr>
        <w:t>analyze</w:t>
      </w:r>
      <w:proofErr w:type="spellEnd"/>
      <w:r w:rsidRPr="000B094B">
        <w:rPr>
          <w:spacing w:val="-2"/>
          <w:szCs w:val="20"/>
          <w:lang w:val="en-ID" w:eastAsia="zh-CN"/>
        </w:rPr>
        <w:t xml:space="preserve"> events, phenomena, or situations socially </w:t>
      </w:r>
      <w:r w:rsidRPr="000B094B">
        <w:rPr>
          <w:spacing w:val="-2"/>
          <w:szCs w:val="20"/>
          <w:lang w:val="en-ID" w:eastAsia="zh-CN"/>
        </w:rPr>
        <w:fldChar w:fldCharType="begin" w:fldLock="1"/>
      </w:r>
      <w:r w:rsidRPr="000B094B">
        <w:rPr>
          <w:spacing w:val="-2"/>
          <w:szCs w:val="20"/>
          <w:lang w:val="en-ID" w:eastAsia="zh-CN"/>
        </w:rPr>
        <w:instrText>ADDIN CSL_CITATION {"citationItems":[{"id":"ITEM-1","itemData":{"ISBN":"978-602-289-533-6","author":[{"dropping-particle":"","family":"Sugiyono","given":"","non-dropping-particle":"","parse-names":false,"suffix":""}],"id":"ITEM-1","issued":{"date-parts":[["2017"]]},"number-of-pages":"464","publisher":"CV. Alfabeta","publisher-place":"Bandung","title":"Metode Penelitian Kuantitatif, Kualitatif, dan R&amp;D","type":"book"},"uris":["http://www.mendeley.com/documents/?uuid=589e29b8-d70c-476a-a813-4678d4d8d61e"]}],"mendeley":{"formattedCitation":"(Sugiyono, 2017)","plainTextFormattedCitation":"(Sugiyono, 2017)","previouslyFormattedCitation":"(Sugiyono, 2017)"},"properties":{"noteIndex":0},"schema":"https://github.com/citation-style-language/schema/raw/master/csl-citation.json"}</w:instrText>
      </w:r>
      <w:r w:rsidRPr="000B094B">
        <w:rPr>
          <w:spacing w:val="-2"/>
          <w:szCs w:val="20"/>
          <w:lang w:val="en-ID" w:eastAsia="zh-CN"/>
        </w:rPr>
        <w:fldChar w:fldCharType="separate"/>
      </w:r>
      <w:r w:rsidRPr="000B094B">
        <w:rPr>
          <w:spacing w:val="-2"/>
          <w:szCs w:val="20"/>
          <w:lang w:val="en-ID" w:eastAsia="zh-CN"/>
        </w:rPr>
        <w:t>(</w:t>
      </w:r>
      <w:proofErr w:type="spellStart"/>
      <w:r w:rsidRPr="000B094B">
        <w:rPr>
          <w:spacing w:val="-2"/>
          <w:szCs w:val="20"/>
          <w:lang w:val="en-ID" w:eastAsia="zh-CN"/>
        </w:rPr>
        <w:t>Sugiyono</w:t>
      </w:r>
      <w:proofErr w:type="spellEnd"/>
      <w:r w:rsidRPr="000B094B">
        <w:rPr>
          <w:spacing w:val="-2"/>
          <w:szCs w:val="20"/>
          <w:lang w:val="en-ID" w:eastAsia="zh-CN"/>
        </w:rPr>
        <w:t>, 2017)</w:t>
      </w:r>
      <w:r w:rsidRPr="000B094B">
        <w:rPr>
          <w:spacing w:val="-2"/>
          <w:szCs w:val="20"/>
          <w:lang w:eastAsia="zh-CN"/>
        </w:rPr>
        <w:fldChar w:fldCharType="end"/>
      </w:r>
      <w:r w:rsidRPr="000B094B">
        <w:rPr>
          <w:spacing w:val="-2"/>
          <w:szCs w:val="20"/>
          <w:lang w:val="en-ID" w:eastAsia="zh-CN"/>
        </w:rPr>
        <w:t xml:space="preserve">. At the same time, it is a combination of descriptive and qualitative data analysis techniques. Qualitative descriptive data analysis techniques are a combination of descriptive and qualitative data analysis techniques. In qualitative data analysis, data is obtained from various sources. Qualitative data analysis is inductive in nature, namely an analysis based on the data obtained </w:t>
      </w:r>
      <w:r w:rsidRPr="000B094B">
        <w:rPr>
          <w:spacing w:val="-2"/>
          <w:szCs w:val="20"/>
          <w:lang w:val="en-ID" w:eastAsia="zh-CN"/>
        </w:rPr>
        <w:fldChar w:fldCharType="begin" w:fldLock="1"/>
      </w:r>
      <w:r w:rsidRPr="000B094B">
        <w:rPr>
          <w:spacing w:val="-2"/>
          <w:szCs w:val="20"/>
          <w:lang w:val="en-ID" w:eastAsia="zh-CN"/>
        </w:rPr>
        <w:instrText>ADDIN CSL_CITATION {"citationItems":[{"id":"ITEM-1","itemData":{"DOI":"10.17265/1548-6591/2014.10.003","abstract":"Today, many researchers publish their qualitative works in top accounting and management journals. The contribution of this approach in accounting and management studies continues to gather momentum. Policymakers in both public and private sectors have been increasingly recognizing the importance and value of this method, since it offers detail and rich analysis of accounting and management practices in an organization. Various current literatures indicate that the interest in qualitative approach in the field of accounting and management seems to grow. However, there are still many researchers in these fields reluctant or even reject to implement this method arguing that qualitative approach is not scientific and the results are also not scientific. Therefore, the purpose of this paper is to discuss the issue of using qualitative method in accounting and management studies. The paper is started by looking at the conceptualization of qualitative research. After that, a paradoxical view of qualitative and quantitative methods is discussed. This is followed by discussions of using qualitative research method in accounting and management studies, particularly the use of interpretive case study and grounded theory will be reviewed and discussed in this paper.","author":[{"dropping-particle":"","family":"Basri","given":"Hasan","non-dropping-particle":"","parse-names":false,"suffix":""}],"container-title":"Journal of US-China Public Administration","id":"ITEM-1","issue":"10","issued":{"date-parts":[["2014"]]},"page":"831-838","title":"Using Qualitative Research in Accounting and Management Studies: Not a New Agenda","type":"article-journal","volume":"11"},"uris":["http://www.mendeley.com/documents/?uuid=08156719-c0c1-421c-bead-cbb740c9b179"]}],"mendeley":{"formattedCitation":"(Basri, 2014)","plainTextFormattedCitation":"(Basri, 2014)","previouslyFormattedCitation":"(Basri, 2014)"},"properties":{"noteIndex":0},"schema":"https://github.com/citation-style-language/schema/raw/master/csl-citation.json"}</w:instrText>
      </w:r>
      <w:r w:rsidRPr="000B094B">
        <w:rPr>
          <w:spacing w:val="-2"/>
          <w:szCs w:val="20"/>
          <w:lang w:val="en-ID" w:eastAsia="zh-CN"/>
        </w:rPr>
        <w:fldChar w:fldCharType="separate"/>
      </w:r>
      <w:r w:rsidRPr="000B094B">
        <w:rPr>
          <w:spacing w:val="-2"/>
          <w:szCs w:val="20"/>
          <w:lang w:val="en-ID" w:eastAsia="zh-CN"/>
        </w:rPr>
        <w:t>(</w:t>
      </w:r>
      <w:proofErr w:type="spellStart"/>
      <w:r w:rsidRPr="000B094B">
        <w:rPr>
          <w:spacing w:val="-2"/>
          <w:szCs w:val="20"/>
          <w:lang w:val="en-ID" w:eastAsia="zh-CN"/>
        </w:rPr>
        <w:t>Basri</w:t>
      </w:r>
      <w:proofErr w:type="spellEnd"/>
      <w:r w:rsidRPr="000B094B">
        <w:rPr>
          <w:spacing w:val="-2"/>
          <w:szCs w:val="20"/>
          <w:lang w:val="en-ID" w:eastAsia="zh-CN"/>
        </w:rPr>
        <w:t>, 2014)</w:t>
      </w:r>
      <w:r w:rsidRPr="000B094B">
        <w:rPr>
          <w:spacing w:val="-2"/>
          <w:szCs w:val="20"/>
          <w:lang w:eastAsia="zh-CN"/>
        </w:rPr>
        <w:fldChar w:fldCharType="end"/>
      </w:r>
      <w:r w:rsidRPr="000B094B">
        <w:rPr>
          <w:spacing w:val="-2"/>
          <w:szCs w:val="20"/>
          <w:lang w:val="en-ID" w:eastAsia="zh-CN"/>
        </w:rPr>
        <w:t>, then a certain relationship pattern is developed or a hypothesis is developed. The instruments in this study were observation, interviews and documentation. After that, with descriptive analysis techniques, you build quartile and mean tables, dispersion methods such as variance or standard deviation and cross tabulation or crosstab which can carry out many different hypotheses.</w:t>
      </w:r>
      <w:r w:rsidR="00626BB2" w:rsidRPr="00626BB2">
        <w:rPr>
          <w:spacing w:val="-2"/>
          <w:szCs w:val="20"/>
          <w:lang w:eastAsia="zh-CN"/>
        </w:rPr>
        <w:t>:</w:t>
      </w:r>
    </w:p>
    <w:p w14:paraId="5B9A61F9" w14:textId="77777777" w:rsidR="00C1793C" w:rsidRPr="00626BB2" w:rsidRDefault="00C1793C" w:rsidP="00626BB2">
      <w:pPr>
        <w:pStyle w:val="Alishlah31text"/>
        <w:rPr>
          <w:spacing w:val="-2"/>
          <w:szCs w:val="20"/>
          <w:lang w:val="af-ZA" w:eastAsia="zh-CN"/>
        </w:rPr>
      </w:pPr>
    </w:p>
    <w:p w14:paraId="4A10D3DE" w14:textId="77777777" w:rsidR="000B094B" w:rsidRDefault="00357F3F" w:rsidP="00357F3F">
      <w:pPr>
        <w:pStyle w:val="Alishlah21heading1"/>
        <w:rPr>
          <w:rFonts w:eastAsia="Arial"/>
        </w:rPr>
      </w:pPr>
      <w:r>
        <w:rPr>
          <w:rFonts w:eastAsia="Arial"/>
        </w:rPr>
        <w:t>RESULT</w:t>
      </w:r>
      <w:r w:rsidR="00ED3552">
        <w:rPr>
          <w:rFonts w:eastAsia="Arial"/>
        </w:rPr>
        <w:t>S</w:t>
      </w:r>
    </w:p>
    <w:p w14:paraId="1C8B4278" w14:textId="77777777" w:rsidR="000B094B" w:rsidRDefault="000B094B" w:rsidP="000B094B">
      <w:pPr>
        <w:pStyle w:val="Alishlah21heading1"/>
        <w:numPr>
          <w:ilvl w:val="0"/>
          <w:numId w:val="30"/>
        </w:numPr>
        <w:ind w:left="360"/>
      </w:pPr>
      <w:r w:rsidRPr="00E22877">
        <w:rPr>
          <w:i/>
        </w:rPr>
        <w:t>Merdeka</w:t>
      </w:r>
      <w:r w:rsidRPr="00E22877">
        <w:t xml:space="preserve"> Campus Curriculum and Lecturer Professionalism in online learning</w:t>
      </w:r>
    </w:p>
    <w:p w14:paraId="725B367D"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In the context of higher education (university), that always learning must be done by anyone who has a profession as an educator </w:t>
      </w:r>
      <w:r w:rsidRPr="000B094B">
        <w:rPr>
          <w:rFonts w:eastAsia="Arial"/>
          <w:b w:val="0"/>
          <w:bCs/>
        </w:rPr>
        <w:fldChar w:fldCharType="begin" w:fldLock="1"/>
      </w:r>
      <w:r w:rsidRPr="000B094B">
        <w:rPr>
          <w:rFonts w:eastAsia="Arial"/>
          <w:b w:val="0"/>
          <w:bCs/>
        </w:rPr>
        <w:instrText>ADDIN CSL_CITATION {"citationItems":[{"id":"ITEM-1","itemData":{"DOI":"10.1080/02602938.2015.1083535","ISSN":"0260-2938","author":[{"dropping-particle":"","family":"López-Pastor","given":"Victor","non-dropping-particle":"","parse-names":false,"suffix":""},{"dropping-particle":"","family":"Sicilia-Camacho","given":"Alvaro","non-dropping-particle":"","parse-names":false,"suffix":""}],"container-title":"Assessment &amp; Evaluation in Higher Education","id":"ITEM-1","issue":"1","issued":{"date-parts":[["2017","1","2"]]},"page":"77-97","title":"Formative and shared assessment in higher education. Lessons learned and challenges for the future","type":"article-journal","volume":"42"},"uris":["http://www.mendeley.com/documents/?uuid=7fee901a-7a6c-40e9-9e9f-3eff9b856917"]}],"mendeley":{"formattedCitation":"(López-Pastor &amp; Sicilia-Camacho, 2017)","plainTextFormattedCitation":"(López-Pastor &amp; Sicilia-Camacho, 2017)","previouslyFormattedCitation":"(López-Pastor &amp; Sicilia-Camacho, 2017)"},"properties":{"noteIndex":0},"schema":"https://github.com/citation-style-language/schema/raw/master/csl-citation.json"}</w:instrText>
      </w:r>
      <w:r w:rsidRPr="000B094B">
        <w:rPr>
          <w:rFonts w:eastAsia="Arial"/>
          <w:b w:val="0"/>
          <w:bCs/>
        </w:rPr>
        <w:fldChar w:fldCharType="separate"/>
      </w:r>
      <w:r w:rsidRPr="000B094B">
        <w:rPr>
          <w:rFonts w:eastAsia="Arial"/>
          <w:b w:val="0"/>
          <w:bCs/>
        </w:rPr>
        <w:t>(López-Pastor &amp; Sicilia-Camacho, 2017)</w:t>
      </w:r>
      <w:r w:rsidRPr="000B094B">
        <w:rPr>
          <w:rFonts w:eastAsia="Arial"/>
          <w:b w:val="0"/>
          <w:bCs/>
        </w:rPr>
        <w:fldChar w:fldCharType="end"/>
      </w:r>
      <w:r w:rsidRPr="000B094B">
        <w:rPr>
          <w:rFonts w:eastAsia="Arial"/>
          <w:b w:val="0"/>
          <w:bCs/>
        </w:rPr>
        <w:t xml:space="preserve">. This includes, apart from being required to deal with students, both among teachers and are required to always be in the process and always learning </w:t>
      </w:r>
      <w:r w:rsidRPr="000B094B">
        <w:rPr>
          <w:rFonts w:eastAsia="Arial"/>
          <w:b w:val="0"/>
          <w:bCs/>
        </w:rPr>
        <w:fldChar w:fldCharType="begin" w:fldLock="1"/>
      </w:r>
      <w:r w:rsidRPr="000B094B">
        <w:rPr>
          <w:rFonts w:eastAsia="Arial"/>
          <w:b w:val="0"/>
          <w:bCs/>
        </w:rPr>
        <w:instrText>ADDIN CSL_CITATION {"citationItems":[{"id":"ITEM-1","itemData":{"DOI":"https://doi.org/10.20961/shes.v3i2.46219","ISSN":"2620-9284","PMID":"25246403","abstract":"In the midst of the industrial revolution 4.0 and the rise of identity politics and populism. Therefore, a policy is needed that brings back Pancasila as the identity of the nation. Through the concept of Free Learning education, the Minister of Education and Culture of the Republic of Indonesia strives to generate profiles of Pancasila students. The Ministry of Education provides six indicators of pancasila student profile. Namely, noble morality, creativity, mutual assistance, global diversity, critical reasoning, and self-reliance. Historical subjects are considered as subjects capable of shaping the profile of Pancasila students. Especially in high school, historical subjects have a relatively large share in terms of time allocation. Besides, the relevance between Pancasila and history lessons gives space for teachers to explore and instil Pancasila values in students. The purpose of this research is to describe the formation of Pancasila Student Profile through historical learning. This research uses qualitative research methods of descriptive analysis. Data collection methods use literature and document studies. It is hoped that through historical learning both through the content of the content and the learning process and its relevance to Pancasila, the establishment of Pancasila Student Profile becomes an inevitable","author":[{"dropping-particle":"","family":"Hasudungan","given":"Anju Nofarof","non-dropping-particle":"","parse-names":false,"suffix":""},{"dropping-particle":"","family":"Abidin","given":"Nur Fatah","non-dropping-particle":"","parse-names":false,"suffix":""}],"container-title":"Social, Humanities, and Education Studies (SHEs): Conference Series","editor":[{"dropping-particle":"","family":"Suhartono","given":"","non-dropping-particle":"","parse-names":false,"suffix":""}],"id":"ITEM-1","issue":"2","issued":{"date-parts":[["2020"]]},"page":"34-42","publisher":"Sebelas Maret Univeristy","publisher-place":"Surakarta","title":"Independent Learning: Forming The Pancasila Learner Through Historical Learning In Senior High School","type":"paper-conference","volume":"3"},"uris":["http://www.mendeley.com/documents/?uuid=474bf298-45a5-4c54-bcb6-11ddf4941786"]}],"mendeley":{"formattedCitation":"(Hasudungan &amp; Abidin, 2020)","plainTextFormattedCitation":"(Hasudungan &amp; Abidin, 2020)","previouslyFormattedCitation":"(Hasudungan &amp; Abidin, 2020)"},"properties":{"noteIndex":0},"schema":"https://github.com/citation-style-language/schema/raw/master/csl-citation.json"}</w:instrText>
      </w:r>
      <w:r w:rsidRPr="000B094B">
        <w:rPr>
          <w:rFonts w:eastAsia="Arial"/>
          <w:b w:val="0"/>
          <w:bCs/>
        </w:rPr>
        <w:fldChar w:fldCharType="separate"/>
      </w:r>
      <w:r w:rsidRPr="000B094B">
        <w:rPr>
          <w:rFonts w:eastAsia="Arial"/>
          <w:b w:val="0"/>
          <w:bCs/>
        </w:rPr>
        <w:t>(</w:t>
      </w:r>
      <w:proofErr w:type="spellStart"/>
      <w:r w:rsidRPr="000B094B">
        <w:rPr>
          <w:rFonts w:eastAsia="Arial"/>
          <w:b w:val="0"/>
          <w:bCs/>
        </w:rPr>
        <w:t>Hasudungan</w:t>
      </w:r>
      <w:proofErr w:type="spellEnd"/>
      <w:r w:rsidRPr="000B094B">
        <w:rPr>
          <w:rFonts w:eastAsia="Arial"/>
          <w:b w:val="0"/>
          <w:bCs/>
        </w:rPr>
        <w:t xml:space="preserve"> &amp; Abidin, 2020)</w:t>
      </w:r>
      <w:r w:rsidRPr="000B094B">
        <w:rPr>
          <w:rFonts w:eastAsia="Arial"/>
          <w:b w:val="0"/>
          <w:bCs/>
        </w:rPr>
        <w:fldChar w:fldCharType="end"/>
      </w:r>
      <w:r w:rsidRPr="000B094B">
        <w:rPr>
          <w:rFonts w:eastAsia="Arial"/>
          <w:b w:val="0"/>
          <w:bCs/>
        </w:rPr>
        <w:t xml:space="preserve">. Because he is also a scientist, he must always update his knowledge and be ready to face the changing times that are constantly running to renew him. If you don't learn, the research and teaching methods will be left behind and boring, so that students don't get the maximum learning satisfaction as desired. </w:t>
      </w:r>
      <w:proofErr w:type="gramStart"/>
      <w:r w:rsidRPr="000B094B">
        <w:rPr>
          <w:rFonts w:eastAsia="Arial"/>
          <w:b w:val="0"/>
          <w:bCs/>
        </w:rPr>
        <w:t>Therefore</w:t>
      </w:r>
      <w:proofErr w:type="gramEnd"/>
      <w:r w:rsidRPr="000B094B">
        <w:rPr>
          <w:rFonts w:eastAsia="Arial"/>
          <w:b w:val="0"/>
          <w:bCs/>
        </w:rPr>
        <w:t xml:space="preserve"> professionals in their fields are needed to support students' understanding of the material. Professionals are not only able to teach well, but also include mastery of the knowledge they teach, the methods used. A person must also have noble character, who always tries to improve his knowledge from time to time in accordance with the times.</w:t>
      </w:r>
    </w:p>
    <w:p w14:paraId="48100131"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Education is a conscious and planned effort to create a learning atmosphere and learning process so that students actively develop their potential to choose religious spiritual strength, self-control, personality, intelligence, noble character, and the skills needed by themselves, the community, the nation and the State </w:t>
      </w:r>
      <w:r w:rsidRPr="000B094B">
        <w:rPr>
          <w:rFonts w:eastAsia="Arial"/>
          <w:b w:val="0"/>
          <w:bCs/>
        </w:rPr>
        <w:fldChar w:fldCharType="begin" w:fldLock="1"/>
      </w:r>
      <w:r w:rsidRPr="000B094B">
        <w:rPr>
          <w:rFonts w:eastAsia="Arial"/>
          <w:b w:val="0"/>
          <w:bCs/>
        </w:rPr>
        <w:instrText>ADDIN CSL_CITATION {"citationItems":[{"id":"ITEM-1","itemData":{"DOI":"10.25077/jantro.v22.n1.p131-141.2020","ISSN":"2355-5963","abstract":"Diversity is a fact inherent in Indonesia, a country that consists of various ethnic groups, religions, cultures, and customs from Sabang to Merauke. But on the other hand, in many cases, this diversity can also threaten the integrity of Indonesia whose motto is “unity in diversity”. A lot of cultural friction to ethnic and religious conflicts has coloring the dynamics of Indonesian diversity from the Orde Lama era to the present. This is clearly a serious threat to Indonesia’s integrity. Since the Reformation era, the Indonesian government has adopted a multicultural approach to solvemulticultural issues. This paper describes the values of multiculturalism that can be used as a spirit in organizing the social system among a plural society. Education, both formal and informal, constitutes a strategic institution to internalize those values of multiculturalism. The research method uses a literature review, with a hermeneutic approach. The findings of this study, the process of internalizing multicultural values through education involves the environment, actors and schools. The success of the internalization process is determined by the mutual support between knowledge, process and acceptance of the values of multiculturalism.","author":[{"dropping-particle":"","family":"Firdaus","given":"Firdaus","non-dropping-particle":"","parse-names":false,"suffix":""},{"dropping-particle":"","family":"Anggreta","given":"Dian Kurnia","non-dropping-particle":"","parse-names":false,"suffix":""},{"dropping-particle":"","family":"Yasin","given":"Faishal","non-dropping-particle":"","parse-names":false,"suffix":""}],"container-title":"Jurnal Antropologi: Isu-Isu Sosial Budaya","id":"ITEM-1","issue":"1","issued":{"date-parts":[["2020","5","31"]]},"page":"131","title":"Internalizing Multiculturalism Values Through Education: Anticipatory Strategies for Multicultural Problems and Intolerance in Indonesia","type":"article-journal","volume":"22"},"uris":["http://www.mendeley.com/documents/?uuid=9882dcee-d395-4b31-95b6-ee5b93e53363"]}],"mendeley":{"formattedCitation":"(Firdaus, Anggreta, &amp; Yasin, 2020)","plainTextFormattedCitation":"(Firdaus, Anggreta, &amp; Yasin, 2020)","previouslyFormattedCitation":"(Firdaus, Anggreta, &amp; Yasin, 2020)"},"properties":{"noteIndex":0},"schema":"https://github.com/citation-style-language/schema/raw/master/csl-citation.json"}</w:instrText>
      </w:r>
      <w:r w:rsidRPr="000B094B">
        <w:rPr>
          <w:rFonts w:eastAsia="Arial"/>
          <w:b w:val="0"/>
          <w:bCs/>
        </w:rPr>
        <w:fldChar w:fldCharType="separate"/>
      </w:r>
      <w:r w:rsidRPr="000B094B">
        <w:rPr>
          <w:rFonts w:eastAsia="Arial"/>
          <w:b w:val="0"/>
          <w:bCs/>
        </w:rPr>
        <w:t xml:space="preserve">(Firdaus, </w:t>
      </w:r>
      <w:proofErr w:type="spellStart"/>
      <w:r w:rsidRPr="000B094B">
        <w:rPr>
          <w:rFonts w:eastAsia="Arial"/>
          <w:b w:val="0"/>
          <w:bCs/>
        </w:rPr>
        <w:t>Anggreta</w:t>
      </w:r>
      <w:proofErr w:type="spellEnd"/>
      <w:r w:rsidRPr="000B094B">
        <w:rPr>
          <w:rFonts w:eastAsia="Arial"/>
          <w:b w:val="0"/>
          <w:bCs/>
        </w:rPr>
        <w:t>, &amp; Yasin, 2020)</w:t>
      </w:r>
      <w:r w:rsidRPr="000B094B">
        <w:rPr>
          <w:rFonts w:eastAsia="Arial"/>
          <w:b w:val="0"/>
          <w:bCs/>
        </w:rPr>
        <w:fldChar w:fldCharType="end"/>
      </w:r>
      <w:r w:rsidRPr="000B094B">
        <w:rPr>
          <w:rFonts w:eastAsia="Arial"/>
          <w:b w:val="0"/>
          <w:bCs/>
        </w:rPr>
        <w:t>.</w:t>
      </w:r>
    </w:p>
    <w:p w14:paraId="0FF3A68F"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Lecturers should take part in Character Training and the Applied Approach (AA) Program. This activity presents lecturers who are competent in the field of learning with the aim that it is not enough for each lecturer to only have skills in the field of science, but need to be supported by pedagogic and learning abilities. That, the Character Training activities and the Applied Approach (AA) Program are in line with Law Number 20/2003 article 39 paragraph 2 stating that educators are professionals whose job is to plan and carry out the learning process, assess learning outcomes, conduct guidance and training, and conduct research, and community service, especially for educators in tertiary institutions. AA training is important in developing lecturer professionalism because the curriculum set by DIKTI is in line with the mandate of Law Number 14/2005 concerning Teachers and Lecturers.</w:t>
      </w:r>
    </w:p>
    <w:p w14:paraId="6E9BF7F2"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It was stated that the lecturer's workload includes main activities, in the form of planning, implementing processes, evaluating learning outcomes, guidance and training, and conducting research. In addition, carrying out additional tasks and community service. The AA program is a training program designed by DIKTI to increase pedagogic competence for lecturers, learning skills require continuous practice and improvement.</w:t>
      </w:r>
    </w:p>
    <w:p w14:paraId="063C8E30"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In addition, for lecturers, conducting research and publishing research results in the form of scientific journals is one of the important points in carrying out the functions of the </w:t>
      </w:r>
      <w:proofErr w:type="spellStart"/>
      <w:r w:rsidRPr="000B094B">
        <w:rPr>
          <w:rFonts w:eastAsia="Arial"/>
          <w:b w:val="0"/>
          <w:bCs/>
          <w:i/>
        </w:rPr>
        <w:t>Tridharma</w:t>
      </w:r>
      <w:proofErr w:type="spellEnd"/>
      <w:r w:rsidRPr="000B094B">
        <w:rPr>
          <w:rFonts w:eastAsia="Arial"/>
          <w:b w:val="0"/>
          <w:bCs/>
        </w:rPr>
        <w:t xml:space="preserve"> of Higher Education. The performance of the lecturers, which in turn has an effect on the performance of tertiary institutions, is more or less influenced by the quality of the lecturers' scientific work</w:t>
      </w:r>
      <w:r w:rsidRPr="000B094B">
        <w:rPr>
          <w:rFonts w:eastAsia="Arial"/>
          <w:b w:val="0"/>
          <w:bCs/>
        </w:rPr>
        <w:t xml:space="preserve">. </w:t>
      </w:r>
      <w:r w:rsidRPr="000B094B">
        <w:rPr>
          <w:rFonts w:eastAsia="Arial"/>
          <w:b w:val="0"/>
          <w:bCs/>
        </w:rPr>
        <w:t xml:space="preserve">Having hard skill and soft skill competencies according to the needs of the era is what all tertiary institutions want to achieve. With the promulgation of the </w:t>
      </w:r>
      <w:r w:rsidRPr="000B094B">
        <w:rPr>
          <w:rFonts w:eastAsia="Arial"/>
          <w:b w:val="0"/>
          <w:bCs/>
          <w:i/>
        </w:rPr>
        <w:t>Merdeka</w:t>
      </w:r>
      <w:r w:rsidRPr="000B094B">
        <w:rPr>
          <w:rFonts w:eastAsia="Arial"/>
          <w:b w:val="0"/>
          <w:bCs/>
        </w:rPr>
        <w:t xml:space="preserve"> Campus Curriculum (KKM) by the Indonesian Ministry of Education and Culture, it provides new challenges for all tertiary institutions to be implemented as well as possible. This is focused on producing graduates who are creative and can compete in the industrial world.</w:t>
      </w:r>
      <w:r w:rsidRPr="000B094B">
        <w:rPr>
          <w:rFonts w:eastAsia="Arial"/>
          <w:b w:val="0"/>
          <w:bCs/>
        </w:rPr>
        <w:t xml:space="preserve"> </w:t>
      </w:r>
      <w:r w:rsidRPr="000B094B">
        <w:rPr>
          <w:rFonts w:eastAsia="Arial"/>
          <w:b w:val="0"/>
          <w:bCs/>
        </w:rPr>
        <w:t xml:space="preserve">In the </w:t>
      </w:r>
      <w:proofErr w:type="gramStart"/>
      <w:r w:rsidRPr="000B094B">
        <w:rPr>
          <w:rFonts w:eastAsia="Arial"/>
          <w:b w:val="0"/>
          <w:bCs/>
        </w:rPr>
        <w:t>fast changing</w:t>
      </w:r>
      <w:proofErr w:type="gramEnd"/>
      <w:r w:rsidRPr="000B094B">
        <w:rPr>
          <w:rFonts w:eastAsia="Arial"/>
          <w:b w:val="0"/>
          <w:bCs/>
        </w:rPr>
        <w:t xml:space="preserve"> era, lecturers have the obligation to make adjustments in carrying out their duties in educating students. Not only produce students who have competence but students who have character and morality are also needed.</w:t>
      </w:r>
      <w:r w:rsidRPr="000B094B">
        <w:rPr>
          <w:rFonts w:eastAsia="Arial"/>
          <w:b w:val="0"/>
          <w:bCs/>
        </w:rPr>
        <w:t xml:space="preserve"> </w:t>
      </w:r>
      <w:r w:rsidRPr="000B094B">
        <w:rPr>
          <w:rFonts w:eastAsia="Arial"/>
          <w:b w:val="0"/>
          <w:bCs/>
        </w:rPr>
        <w:t xml:space="preserve">That KKM is an extraordinary way for students to have competence, expertise. </w:t>
      </w:r>
      <w:r w:rsidRPr="000B094B">
        <w:rPr>
          <w:rFonts w:eastAsia="Arial"/>
          <w:b w:val="0"/>
          <w:bCs/>
          <w:i/>
        </w:rPr>
        <w:t>Merdeka</w:t>
      </w:r>
      <w:r w:rsidRPr="000B094B">
        <w:rPr>
          <w:rFonts w:eastAsia="Arial"/>
          <w:b w:val="0"/>
          <w:bCs/>
        </w:rPr>
        <w:t xml:space="preserve"> Learning (MB) curriculum design and its implementation in which stakeholders are relevant for cooperation in developing student competencies. Significant changes to lecturers in implementing </w:t>
      </w:r>
      <w:proofErr w:type="spellStart"/>
      <w:r w:rsidRPr="000B094B">
        <w:rPr>
          <w:rFonts w:eastAsia="Arial"/>
          <w:b w:val="0"/>
          <w:bCs/>
          <w:i/>
        </w:rPr>
        <w:t>Kampus</w:t>
      </w:r>
      <w:proofErr w:type="spellEnd"/>
      <w:r w:rsidRPr="000B094B">
        <w:rPr>
          <w:rFonts w:eastAsia="Arial"/>
          <w:b w:val="0"/>
          <w:bCs/>
          <w:i/>
        </w:rPr>
        <w:t xml:space="preserve"> Merdeka </w:t>
      </w:r>
      <w:proofErr w:type="spellStart"/>
      <w:r w:rsidRPr="000B094B">
        <w:rPr>
          <w:rFonts w:eastAsia="Arial"/>
          <w:b w:val="0"/>
          <w:bCs/>
          <w:i/>
        </w:rPr>
        <w:t>Merdeka</w:t>
      </w:r>
      <w:proofErr w:type="spellEnd"/>
      <w:r w:rsidRPr="000B094B">
        <w:rPr>
          <w:rFonts w:eastAsia="Arial"/>
          <w:b w:val="0"/>
          <w:bCs/>
          <w:i/>
        </w:rPr>
        <w:t xml:space="preserve"> </w:t>
      </w:r>
      <w:proofErr w:type="spellStart"/>
      <w:r w:rsidRPr="000B094B">
        <w:rPr>
          <w:rFonts w:eastAsia="Arial"/>
          <w:b w:val="0"/>
          <w:bCs/>
          <w:i/>
        </w:rPr>
        <w:t>Belajar</w:t>
      </w:r>
      <w:proofErr w:type="spellEnd"/>
      <w:r w:rsidRPr="000B094B">
        <w:rPr>
          <w:rFonts w:eastAsia="Arial"/>
          <w:b w:val="0"/>
          <w:bCs/>
        </w:rPr>
        <w:t xml:space="preserve"> (KMMB, Freedom Campus Freedom to Learn) policies, these changes require system support at universities and ministries. Regarding the triggers for the digital era and the disruptive era, demands for change, independent learning and a </w:t>
      </w:r>
      <w:r w:rsidRPr="000B094B">
        <w:rPr>
          <w:rFonts w:eastAsia="Arial"/>
          <w:b w:val="0"/>
          <w:bCs/>
          <w:i/>
        </w:rPr>
        <w:t>Merdeka</w:t>
      </w:r>
      <w:r w:rsidRPr="000B094B">
        <w:rPr>
          <w:rFonts w:eastAsia="Arial"/>
          <w:b w:val="0"/>
          <w:bCs/>
        </w:rPr>
        <w:t xml:space="preserve"> campus, campus dynamics in response to change and teaching and learning processes and 21st century competencies. So, the 21st century is marked by the digital era which results in disruption in various aspects of life. The campus is at the forefront of producing superior, competitive human resources. Industrial revolution 4.0 technology must be integrated into the </w:t>
      </w:r>
      <w:proofErr w:type="spellStart"/>
      <w:r w:rsidRPr="000B094B">
        <w:rPr>
          <w:rFonts w:eastAsia="Arial"/>
          <w:b w:val="0"/>
          <w:bCs/>
          <w:i/>
        </w:rPr>
        <w:t>Tridarma</w:t>
      </w:r>
      <w:proofErr w:type="spellEnd"/>
      <w:r w:rsidRPr="000B094B">
        <w:rPr>
          <w:rFonts w:eastAsia="Arial"/>
          <w:b w:val="0"/>
          <w:bCs/>
        </w:rPr>
        <w:t xml:space="preserve"> of higher education </w:t>
      </w:r>
      <w:r w:rsidRPr="000B094B">
        <w:rPr>
          <w:rFonts w:eastAsia="Arial"/>
          <w:b w:val="0"/>
          <w:bCs/>
        </w:rPr>
        <w:fldChar w:fldCharType="begin" w:fldLock="1"/>
      </w:r>
      <w:r w:rsidRPr="000B094B">
        <w:rPr>
          <w:rFonts w:eastAsia="Arial"/>
          <w:b w:val="0"/>
          <w:bCs/>
        </w:rPr>
        <w:instrText>ADDIN CSL_CITATION {"citationItems":[{"id":"ITEM-1","itemData":{"DOI":"10.47616/jamrems.v3i3.340","ISSN":"2708-9711","abstract":"In addition to attending lectures to become Human Resources with academic knowledge (academic knowledge), management skills, and communication skills, students are also expected to have skills and creativity in the field of entrepreneurship in order to become graduates who are productive, superior, competitive, adaptive, flexible, and productive. In the present world of technology and information, social media use cannot be isolated from pupils. Since 2020, the lecture process has been conducted online, especially in light of the COVID-19 pandemic; social media is not only used for entertainment, but also as a source of knowledge information in lectures; and online media is also used to sell food made by students as a form of creativity with economic benefits. (1) The students' motivations for engaging in the entrepreneurial innovation program were Self-Development, Earning an Income, and Independence. (2) Due to the covid 19 epidemic, the Entrepreneurship Team distributes items through social media: Facebook, Instagram, and YouTube. Payment via COD and M-Banking systems, making it simpler for purchasers since they don't have to leave the home (3) Productive and Economic Roles of Online Food Selling Students Via Social Media in Supporting Entrepreneurial Creativity Programs. Achievement of the Key Performance Indicators (KPI) of Universities and Colleges, as well as support for the Entrepreneurial Creativity Program (4) Obstacles: Lack of parental support, lack of explanation of entrepreneurship education, and hectic class schedules.","author":[{"dropping-particle":"","family":"Warouw","given":"Desie","non-dropping-particle":"","parse-names":false,"suffix":""},{"dropping-particle":"","family":"Himpong","given":"Meity","non-dropping-particle":"","parse-names":false,"suffix":""},{"dropping-particle":"","family":"Pasoreh","given":"Yuriewaty","non-dropping-particle":"","parse-names":false,"suffix":""},{"dropping-particle":"","family":"Matheosz","given":"Jenny Nelly","non-dropping-particle":"","parse-names":false,"suffix":""}],"container-title":"Journal of Asian Multicultural Research for Economy and Management Study","id":"ITEM-1","issue":"3","issued":{"date-parts":[["2022","11","10"]]},"page":"25-36","title":"The Role of Online Food Selling Students through Social Media in Supporting the Entrepreneurial Creativity Program","type":"article-journal","volume":"3"},"uris":["http://www.mendeley.com/documents/?uuid=26efca43-a125-46f7-b45b-4de13efd4848"]}],"mendeley":{"formattedCitation":"(Warouw, Himpong, Pasoreh, &amp; Matheosz, 2022)","plainTextFormattedCitation":"(Warouw, Himpong, Pasoreh, &amp; Matheosz, 2022)","previouslyFormattedCitation":"(Warouw, Himpong, Pasoreh, &amp; Matheosz, 2022)"},"properties":{"noteIndex":0},"schema":"https://github.com/citation-style-language/schema/raw/master/csl-citation.json"}</w:instrText>
      </w:r>
      <w:r w:rsidRPr="000B094B">
        <w:rPr>
          <w:rFonts w:eastAsia="Arial"/>
          <w:b w:val="0"/>
          <w:bCs/>
        </w:rPr>
        <w:fldChar w:fldCharType="separate"/>
      </w:r>
      <w:r w:rsidRPr="000B094B">
        <w:rPr>
          <w:rFonts w:eastAsia="Arial"/>
          <w:b w:val="0"/>
          <w:bCs/>
        </w:rPr>
        <w:t xml:space="preserve">(Warouw, </w:t>
      </w:r>
      <w:proofErr w:type="spellStart"/>
      <w:r w:rsidRPr="000B094B">
        <w:rPr>
          <w:rFonts w:eastAsia="Arial"/>
          <w:b w:val="0"/>
          <w:bCs/>
        </w:rPr>
        <w:t>Himpong</w:t>
      </w:r>
      <w:proofErr w:type="spellEnd"/>
      <w:r w:rsidRPr="000B094B">
        <w:rPr>
          <w:rFonts w:eastAsia="Arial"/>
          <w:b w:val="0"/>
          <w:bCs/>
        </w:rPr>
        <w:t xml:space="preserve">, </w:t>
      </w:r>
      <w:proofErr w:type="spellStart"/>
      <w:r w:rsidRPr="000B094B">
        <w:rPr>
          <w:rFonts w:eastAsia="Arial"/>
          <w:b w:val="0"/>
          <w:bCs/>
        </w:rPr>
        <w:t>Pasoreh</w:t>
      </w:r>
      <w:proofErr w:type="spellEnd"/>
      <w:r w:rsidRPr="000B094B">
        <w:rPr>
          <w:rFonts w:eastAsia="Arial"/>
          <w:b w:val="0"/>
          <w:bCs/>
        </w:rPr>
        <w:t xml:space="preserve">, &amp; </w:t>
      </w:r>
      <w:proofErr w:type="spellStart"/>
      <w:r w:rsidRPr="000B094B">
        <w:rPr>
          <w:rFonts w:eastAsia="Arial"/>
          <w:b w:val="0"/>
          <w:bCs/>
        </w:rPr>
        <w:t>Matheosz</w:t>
      </w:r>
      <w:proofErr w:type="spellEnd"/>
      <w:r w:rsidRPr="000B094B">
        <w:rPr>
          <w:rFonts w:eastAsia="Arial"/>
          <w:b w:val="0"/>
          <w:bCs/>
        </w:rPr>
        <w:t>, 2022)</w:t>
      </w:r>
      <w:r w:rsidRPr="000B094B">
        <w:rPr>
          <w:rFonts w:eastAsia="Arial"/>
          <w:b w:val="0"/>
          <w:bCs/>
        </w:rPr>
        <w:fldChar w:fldCharType="end"/>
      </w:r>
      <w:r w:rsidRPr="000B094B">
        <w:rPr>
          <w:rFonts w:eastAsia="Arial"/>
          <w:b w:val="0"/>
          <w:bCs/>
        </w:rPr>
        <w:t>.</w:t>
      </w:r>
    </w:p>
    <w:p w14:paraId="7FE6C4FF"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Lecturers are the movers and determinants of the success or failure of an efficient digital transformation. Implementing </w:t>
      </w:r>
      <w:r w:rsidRPr="000B094B">
        <w:rPr>
          <w:rFonts w:eastAsia="Arial"/>
          <w:b w:val="0"/>
          <w:bCs/>
          <w:i/>
        </w:rPr>
        <w:t>Merdeka</w:t>
      </w:r>
      <w:r w:rsidRPr="000B094B">
        <w:rPr>
          <w:rFonts w:eastAsia="Arial"/>
          <w:b w:val="0"/>
          <w:bCs/>
        </w:rPr>
        <w:t xml:space="preserve"> Learning and </w:t>
      </w:r>
      <w:r w:rsidRPr="000B094B">
        <w:rPr>
          <w:rFonts w:eastAsia="Arial"/>
          <w:b w:val="0"/>
          <w:bCs/>
          <w:i/>
        </w:rPr>
        <w:t xml:space="preserve">Merdeka </w:t>
      </w:r>
      <w:r w:rsidRPr="000B094B">
        <w:rPr>
          <w:rFonts w:eastAsia="Arial"/>
          <w:b w:val="0"/>
          <w:bCs/>
        </w:rPr>
        <w:t xml:space="preserve">Campus in higher education </w:t>
      </w:r>
      <w:proofErr w:type="spellStart"/>
      <w:r w:rsidRPr="000B094B">
        <w:rPr>
          <w:rFonts w:eastAsia="Arial"/>
          <w:b w:val="0"/>
          <w:bCs/>
          <w:i/>
        </w:rPr>
        <w:t>Tridarma</w:t>
      </w:r>
      <w:proofErr w:type="spellEnd"/>
      <w:r w:rsidRPr="000B094B">
        <w:rPr>
          <w:rFonts w:eastAsia="Arial"/>
          <w:b w:val="0"/>
          <w:bCs/>
          <w:i/>
        </w:rPr>
        <w:t xml:space="preserve"> </w:t>
      </w:r>
      <w:r w:rsidRPr="000B094B">
        <w:rPr>
          <w:rFonts w:eastAsia="Arial"/>
          <w:b w:val="0"/>
          <w:bCs/>
        </w:rPr>
        <w:t xml:space="preserve">activities because the goal is that the teaching and learning process must be more varied and flexible and more creative according to needs. The role of driving lecturers in the implementation of </w:t>
      </w:r>
      <w:r w:rsidRPr="000B094B">
        <w:rPr>
          <w:rFonts w:eastAsia="Arial"/>
          <w:b w:val="0"/>
          <w:bCs/>
          <w:i/>
          <w:iCs/>
        </w:rPr>
        <w:t xml:space="preserve">Merdeka </w:t>
      </w:r>
      <w:proofErr w:type="spellStart"/>
      <w:r w:rsidRPr="000B094B">
        <w:rPr>
          <w:rFonts w:eastAsia="Arial"/>
          <w:b w:val="0"/>
          <w:bCs/>
          <w:i/>
          <w:iCs/>
        </w:rPr>
        <w:t>Belajar</w:t>
      </w:r>
      <w:proofErr w:type="spellEnd"/>
      <w:r w:rsidRPr="000B094B">
        <w:rPr>
          <w:rFonts w:eastAsia="Arial"/>
          <w:b w:val="0"/>
          <w:bCs/>
          <w:i/>
          <w:iCs/>
        </w:rPr>
        <w:t xml:space="preserve"> </w:t>
      </w:r>
      <w:proofErr w:type="spellStart"/>
      <w:r w:rsidRPr="000B094B">
        <w:rPr>
          <w:rFonts w:eastAsia="Arial"/>
          <w:b w:val="0"/>
          <w:bCs/>
          <w:i/>
          <w:iCs/>
        </w:rPr>
        <w:t>Kampus</w:t>
      </w:r>
      <w:proofErr w:type="spellEnd"/>
      <w:r w:rsidRPr="000B094B">
        <w:rPr>
          <w:rFonts w:eastAsia="Arial"/>
          <w:b w:val="0"/>
          <w:bCs/>
          <w:i/>
          <w:iCs/>
        </w:rPr>
        <w:t xml:space="preserve"> Merdeka</w:t>
      </w:r>
      <w:r w:rsidRPr="000B094B">
        <w:rPr>
          <w:rFonts w:eastAsia="Arial"/>
          <w:b w:val="0"/>
          <w:bCs/>
        </w:rPr>
        <w:t xml:space="preserve"> (MBKM, Independent Learning Independent </w:t>
      </w:r>
      <w:proofErr w:type="gramStart"/>
      <w:r w:rsidRPr="000B094B">
        <w:rPr>
          <w:rFonts w:eastAsia="Arial"/>
          <w:b w:val="0"/>
          <w:bCs/>
        </w:rPr>
        <w:t>Campus)  and</w:t>
      </w:r>
      <w:proofErr w:type="gramEnd"/>
      <w:r w:rsidRPr="000B094B">
        <w:rPr>
          <w:rFonts w:eastAsia="Arial"/>
          <w:b w:val="0"/>
          <w:bCs/>
        </w:rPr>
        <w:t xml:space="preserve"> the achievement of IKU in </w:t>
      </w:r>
      <w:r w:rsidRPr="000B094B">
        <w:rPr>
          <w:rFonts w:eastAsia="Arial"/>
          <w:b w:val="0"/>
          <w:bCs/>
          <w:i/>
        </w:rPr>
        <w:t>Merdeka</w:t>
      </w:r>
      <w:r w:rsidRPr="000B094B">
        <w:rPr>
          <w:rFonts w:eastAsia="Arial"/>
          <w:b w:val="0"/>
          <w:bCs/>
        </w:rPr>
        <w:t xml:space="preserve"> campus universities. There was a wave of industrial revolution 4.0 disruption, namely millennial disruption, technology disruption and competency disruption. The role of higher education, lecturers and students is characterized by Future Practice, Growth Mindset, Agile Learner and Strong Character.</w:t>
      </w:r>
    </w:p>
    <w:p w14:paraId="2396AD6F"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There are 8 (eight) </w:t>
      </w:r>
      <w:r w:rsidRPr="000B094B">
        <w:rPr>
          <w:rFonts w:eastAsia="Arial"/>
          <w:b w:val="0"/>
          <w:bCs/>
          <w:i/>
        </w:rPr>
        <w:t xml:space="preserve">Merdeka </w:t>
      </w:r>
      <w:r w:rsidRPr="000B094B">
        <w:rPr>
          <w:rFonts w:eastAsia="Arial"/>
          <w:b w:val="0"/>
          <w:bCs/>
        </w:rPr>
        <w:t xml:space="preserve">Campus activities that can be carried out, namely student exchanges, internships, teaching at schools, research, building villages, independent studies or projects, student entrepreneurship and humanitarian projects. KPI Main Performance Indicators will be the basis for the transformation of Higher Education with the benefits of graduates getting decent jobs, students get experience outside the campus, lecturers carry out activities outside the campus, practitioners teach inside the lamp, lecturers' work is used by the community or gets international recognition, study programs work together with world-class partners, collaborative and participatory classes and international standard study programs. The functions of the driving advisor include helping students design portfolios from entry to graduation, providing considerations related to the learning menu according to priority scales as well as interests, helping students channel their interests and work to improve their academic abilities and helping students use their learning </w:t>
      </w:r>
      <w:r w:rsidRPr="000B094B">
        <w:rPr>
          <w:rFonts w:eastAsia="Arial"/>
          <w:b w:val="0"/>
          <w:bCs/>
          <w:i/>
        </w:rPr>
        <w:t>Merdeka</w:t>
      </w:r>
      <w:r w:rsidRPr="000B094B">
        <w:rPr>
          <w:rFonts w:eastAsia="Arial"/>
          <w:b w:val="0"/>
          <w:bCs/>
        </w:rPr>
        <w:t xml:space="preserve"> by understanding LO in accordance with the study program. Nusantara Muslim University (UMN), is a private university in Medan City, Indonesia, which was founded in 1996. The Chancellor for the period 2011 to 2015 was Drs. H. </w:t>
      </w:r>
      <w:proofErr w:type="spellStart"/>
      <w:r w:rsidRPr="000B094B">
        <w:rPr>
          <w:rFonts w:eastAsia="Arial"/>
          <w:b w:val="0"/>
          <w:bCs/>
        </w:rPr>
        <w:t>Kondar</w:t>
      </w:r>
      <w:proofErr w:type="spellEnd"/>
      <w:r w:rsidRPr="000B094B">
        <w:rPr>
          <w:rFonts w:eastAsia="Arial"/>
          <w:b w:val="0"/>
          <w:bCs/>
        </w:rPr>
        <w:t xml:space="preserve"> </w:t>
      </w:r>
      <w:proofErr w:type="spellStart"/>
      <w:r w:rsidRPr="000B094B">
        <w:rPr>
          <w:rFonts w:eastAsia="Arial"/>
          <w:b w:val="0"/>
          <w:bCs/>
        </w:rPr>
        <w:t>Siregar</w:t>
      </w:r>
      <w:proofErr w:type="spellEnd"/>
      <w:r w:rsidRPr="000B094B">
        <w:rPr>
          <w:rFonts w:eastAsia="Arial"/>
          <w:b w:val="0"/>
          <w:bCs/>
        </w:rPr>
        <w:t xml:space="preserve">, </w:t>
      </w:r>
      <w:proofErr w:type="gramStart"/>
      <w:r w:rsidRPr="000B094B">
        <w:rPr>
          <w:rFonts w:eastAsia="Arial"/>
          <w:b w:val="0"/>
          <w:bCs/>
        </w:rPr>
        <w:t>M.A .</w:t>
      </w:r>
      <w:proofErr w:type="gramEnd"/>
    </w:p>
    <w:p w14:paraId="4C86F630"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Thus, it can be concluded that as professional educators, lecturers are required to master the field of study being taught (disciplinary content) and various knowledge related to learning approaches (pedagogical content) </w:t>
      </w:r>
      <w:r w:rsidRPr="000B094B">
        <w:rPr>
          <w:rFonts w:eastAsia="Arial"/>
          <w:b w:val="0"/>
          <w:bCs/>
        </w:rPr>
        <w:fldChar w:fldCharType="begin" w:fldLock="1"/>
      </w:r>
      <w:r w:rsidRPr="000B094B">
        <w:rPr>
          <w:rFonts w:eastAsia="Arial"/>
          <w:b w:val="0"/>
          <w:bCs/>
        </w:rPr>
        <w:instrText>ADDIN CSL_CITATION {"citationItems":[{"id":"ITEM-1","itemData":{"DOI":"10.1163/9789004505452_001","author":[{"dropping-particle":"van","family":"Driel","given":"Jan","non-dropping-particle":"","parse-names":false,"suffix":""}],"container-title":"Science Teachers’ Knowledge Development","id":"ITEM-1","issued":{"date-parts":[["2021","11","19"]]},"page":"1-37","publisher":"BRILL","title":"Developing Science Teachers’ Pedagogical Content Knowledge","type":"chapter"},"uris":["http://www.mendeley.com/documents/?uuid=41bd9909-0232-4777-965f-536160b0cfd0"]}],"mendeley":{"formattedCitation":"(Driel, 2021)","plainTextFormattedCitation":"(Driel, 2021)","previouslyFormattedCitation":"(Driel, 2021)"},"properties":{"noteIndex":0},"schema":"https://github.com/citation-style-language/schema/raw/master/csl-citation.json"}</w:instrText>
      </w:r>
      <w:r w:rsidRPr="000B094B">
        <w:rPr>
          <w:rFonts w:eastAsia="Arial"/>
          <w:b w:val="0"/>
          <w:bCs/>
        </w:rPr>
        <w:fldChar w:fldCharType="separate"/>
      </w:r>
      <w:r w:rsidRPr="000B094B">
        <w:rPr>
          <w:rFonts w:eastAsia="Arial"/>
          <w:b w:val="0"/>
          <w:bCs/>
        </w:rPr>
        <w:t>(</w:t>
      </w:r>
      <w:proofErr w:type="spellStart"/>
      <w:r w:rsidRPr="000B094B">
        <w:rPr>
          <w:rFonts w:eastAsia="Arial"/>
          <w:b w:val="0"/>
          <w:bCs/>
        </w:rPr>
        <w:t>Driel</w:t>
      </w:r>
      <w:proofErr w:type="spellEnd"/>
      <w:r w:rsidRPr="000B094B">
        <w:rPr>
          <w:rFonts w:eastAsia="Arial"/>
          <w:b w:val="0"/>
          <w:bCs/>
        </w:rPr>
        <w:t>, 2021)</w:t>
      </w:r>
      <w:r w:rsidRPr="000B094B">
        <w:rPr>
          <w:rFonts w:eastAsia="Arial"/>
          <w:b w:val="0"/>
          <w:bCs/>
        </w:rPr>
        <w:fldChar w:fldCharType="end"/>
      </w:r>
      <w:r w:rsidRPr="000B094B">
        <w:rPr>
          <w:rFonts w:eastAsia="Arial"/>
          <w:b w:val="0"/>
          <w:bCs/>
        </w:rPr>
        <w:t>, which should be developed in a sustainable manner in accordance with the latest developments in science and technology. Mastery of these two fields will have an impact on the nurturant effect, namely personal and social competence, which supports professional competence and pedagogical competence. Based on Law no. 14 of 2005 and Government Regulation (PP) No. 19 of 2005 that the competencies that must be possessed by a professional lecturer include professional competence, pedagogical competence, personal competence, and social competence.</w:t>
      </w:r>
    </w:p>
    <w:p w14:paraId="73EDC260"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The campus is an institution where all socio-economic cultural institutions are grown, cared for and maintained for their sustainability. Campus people, usually called very beautifully: Academics or Academic Community. This designation shows many symbolic messages. Where those who are under the auspices of this institution have credibility, quality and integrity which are expected to provide a frame for the educational process carried out by the campus.</w:t>
      </w:r>
    </w:p>
    <w:p w14:paraId="0A4490B6"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The campus mandate is tough. Simply put, it is reflected in three main pillars: teaching, dedication and research. These three entities, like three in one, where one and the other cannot be separated. So in order to translate these three pillars, academics make these three pillars not only memorized, but reflected in actions that will give meaning and change to people's social life </w:t>
      </w:r>
      <w:r w:rsidRPr="000B094B">
        <w:rPr>
          <w:rFonts w:eastAsia="Arial"/>
          <w:b w:val="0"/>
          <w:bCs/>
        </w:rPr>
        <w:fldChar w:fldCharType="begin" w:fldLock="1"/>
      </w:r>
      <w:r w:rsidRPr="000B094B">
        <w:rPr>
          <w:rFonts w:eastAsia="Arial"/>
          <w:b w:val="0"/>
          <w:bCs/>
        </w:rPr>
        <w:instrText>ADDIN CSL_CITATION {"citationItems":[{"id":"ITEM-1","itemData":{"DOI":"10.57251/el.v2i1.245","ISSN":"2808-862X","abstract":"This study uses descriptive qualitative research methods by analyzing a case study regarding online learning innovations at SMA Negeri 1 Dolok Batu and MA Al-Washliyah Serbelawan during the Covid-19 pandemic. Teachers at SMA Negeri 1 Dolok Batu use online learning following the protocol from the government and innovate in learning to make it better during the teaching and learning process.","author":[{"dropping-particle":"","family":"Lubis","given":"Afidah Nadiah","non-dropping-particle":"","parse-names":false,"suffix":""}],"container-title":"Education &amp; Learning","id":"ITEM-1","issue":"1","issued":{"date-parts":[["2022","3","13"]]},"page":"22-25","title":"Inovasi Pembelajaran SMA/MAN Guru dalam Merancang Kurikulum Selama Pandemi Covid-19 Di Kecamatan Dolok Batu Nanggar","type":"article-journal","volume":"2"},"uris":["http://www.mendeley.com/documents/?uuid=42cd4577-2400-4daa-959c-43693fcb1226"]}],"mendeley":{"formattedCitation":"(Lubis, 2022)","plainTextFormattedCitation":"(Lubis, 2022)","previouslyFormattedCitation":"(Lubis, 2022)"},"properties":{"noteIndex":0},"schema":"https://github.com/citation-style-language/schema/raw/master/csl-citation.json"}</w:instrText>
      </w:r>
      <w:r w:rsidRPr="000B094B">
        <w:rPr>
          <w:rFonts w:eastAsia="Arial"/>
          <w:b w:val="0"/>
          <w:bCs/>
        </w:rPr>
        <w:fldChar w:fldCharType="separate"/>
      </w:r>
      <w:r w:rsidRPr="000B094B">
        <w:rPr>
          <w:rFonts w:eastAsia="Arial"/>
          <w:b w:val="0"/>
          <w:bCs/>
        </w:rPr>
        <w:t>(</w:t>
      </w:r>
      <w:proofErr w:type="spellStart"/>
      <w:r w:rsidRPr="000B094B">
        <w:rPr>
          <w:rFonts w:eastAsia="Arial"/>
          <w:b w:val="0"/>
          <w:bCs/>
        </w:rPr>
        <w:t>Lubis</w:t>
      </w:r>
      <w:proofErr w:type="spellEnd"/>
      <w:r w:rsidRPr="000B094B">
        <w:rPr>
          <w:rFonts w:eastAsia="Arial"/>
          <w:b w:val="0"/>
          <w:bCs/>
        </w:rPr>
        <w:t>, 2022)</w:t>
      </w:r>
      <w:r w:rsidRPr="000B094B">
        <w:rPr>
          <w:rFonts w:eastAsia="Arial"/>
          <w:b w:val="0"/>
          <w:bCs/>
        </w:rPr>
        <w:fldChar w:fldCharType="end"/>
      </w:r>
      <w:r w:rsidRPr="000B094B">
        <w:rPr>
          <w:rFonts w:eastAsia="Arial"/>
          <w:b w:val="0"/>
          <w:bCs/>
        </w:rPr>
        <w:t>.</w:t>
      </w:r>
    </w:p>
    <w:p w14:paraId="55511C4D"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When the COVID-19 pandemic occurred, lectures and work patterns at Nusantara Muslim University Al </w:t>
      </w:r>
      <w:proofErr w:type="spellStart"/>
      <w:r w:rsidRPr="000B094B">
        <w:rPr>
          <w:rFonts w:eastAsia="Arial"/>
          <w:b w:val="0"/>
          <w:bCs/>
        </w:rPr>
        <w:t>Washliyah</w:t>
      </w:r>
      <w:proofErr w:type="spellEnd"/>
      <w:r w:rsidRPr="000B094B">
        <w:rPr>
          <w:rFonts w:eastAsia="Arial"/>
          <w:b w:val="0"/>
          <w:bCs/>
        </w:rPr>
        <w:t xml:space="preserve"> also underwent changes and adjustments even when the independent campus was also implemented, Vice Chancellor (WR) II Dr. </w:t>
      </w:r>
      <w:proofErr w:type="spellStart"/>
      <w:r w:rsidRPr="000B094B">
        <w:rPr>
          <w:rFonts w:eastAsia="Arial"/>
          <w:b w:val="0"/>
          <w:bCs/>
        </w:rPr>
        <w:t>Ridwanto</w:t>
      </w:r>
      <w:proofErr w:type="spellEnd"/>
      <w:r w:rsidRPr="000B094B">
        <w:rPr>
          <w:rFonts w:eastAsia="Arial"/>
          <w:b w:val="0"/>
          <w:bCs/>
        </w:rPr>
        <w:t xml:space="preserve"> </w:t>
      </w:r>
      <w:proofErr w:type="spellStart"/>
      <w:r w:rsidRPr="000B094B">
        <w:rPr>
          <w:rFonts w:eastAsia="Arial"/>
          <w:b w:val="0"/>
          <w:bCs/>
        </w:rPr>
        <w:t>MSi</w:t>
      </w:r>
      <w:proofErr w:type="spellEnd"/>
      <w:r w:rsidRPr="000B094B">
        <w:rPr>
          <w:rFonts w:eastAsia="Arial"/>
          <w:b w:val="0"/>
          <w:bCs/>
        </w:rPr>
        <w:t xml:space="preserve"> on Wednesday 8 April 2020, said following up on the Director General's letter Higher Education Ministry of Education and Culture no: 302/EE2/KR/2020 regarding the study period for organizing educational programs in the Covid-19 outbreak situation and the chancellor's circular letter no: 340/UMN AW/H10/2020 concerning extending lectures and working from home, then The campus provides financial assistance for each active student of IDR 50,000 per month for 3 months from March to May 2020 for the need to purchase internet/credit packages to support online learning systems.</w:t>
      </w:r>
    </w:p>
    <w:p w14:paraId="0CC6ED8B" w14:textId="77777777" w:rsidR="000B094B" w:rsidRPr="000B094B" w:rsidRDefault="000B094B" w:rsidP="000B094B">
      <w:pPr>
        <w:pStyle w:val="Alishlah21heading1"/>
        <w:numPr>
          <w:ilvl w:val="0"/>
          <w:numId w:val="0"/>
        </w:numPr>
        <w:ind w:firstLine="426"/>
        <w:jc w:val="both"/>
        <w:rPr>
          <w:rFonts w:eastAsia="Arial"/>
          <w:b w:val="0"/>
          <w:bCs/>
        </w:rPr>
      </w:pPr>
      <w:r w:rsidRPr="000B094B">
        <w:rPr>
          <w:rFonts w:eastAsia="Arial"/>
          <w:b w:val="0"/>
          <w:bCs/>
        </w:rPr>
        <w:t xml:space="preserve">Meanwhile </w:t>
      </w:r>
      <w:proofErr w:type="spellStart"/>
      <w:r w:rsidRPr="000B094B">
        <w:rPr>
          <w:rFonts w:eastAsia="Arial"/>
          <w:b w:val="0"/>
          <w:bCs/>
        </w:rPr>
        <w:t>Ridwanto</w:t>
      </w:r>
      <w:proofErr w:type="spellEnd"/>
      <w:r w:rsidRPr="000B094B">
        <w:rPr>
          <w:rFonts w:eastAsia="Arial"/>
          <w:b w:val="0"/>
          <w:bCs/>
        </w:rPr>
        <w:t xml:space="preserve"> explained referring to the results of meetings of the rectorate, deans, heads of study programs, heads of bureaus and heads of institutions within UMN Al </w:t>
      </w:r>
      <w:proofErr w:type="spellStart"/>
      <w:r w:rsidRPr="000B094B">
        <w:rPr>
          <w:rFonts w:eastAsia="Arial"/>
          <w:b w:val="0"/>
          <w:bCs/>
        </w:rPr>
        <w:t>Washliyah</w:t>
      </w:r>
      <w:proofErr w:type="spellEnd"/>
      <w:r w:rsidRPr="000B094B">
        <w:rPr>
          <w:rFonts w:eastAsia="Arial"/>
          <w:b w:val="0"/>
          <w:bCs/>
        </w:rPr>
        <w:t xml:space="preserve"> regarding the prevention of Covid-19, making 9 policy steps namely extending distance lectures until the even semester of lectures for the 2019/2020 academic year, provide special treatment for students who experience difficulties in online distance learning such as network disturbances (among other things can be replaced by learning through modules, assignments to make scientific work and others), guidance activities and implementation of proposal seminars carried out through online facilities and may meet face to face with due observance of the standards for handling Covid-19 and the maximum number of attendees is five people, namely two supervisors, one examiner and students attending green table sessions and heads of study programs.</w:t>
      </w:r>
    </w:p>
    <w:p w14:paraId="63273807" w14:textId="564E16A0" w:rsidR="000B094B" w:rsidRPr="000B094B" w:rsidRDefault="000B094B" w:rsidP="000B094B">
      <w:pPr>
        <w:pStyle w:val="Alishlah21heading1"/>
        <w:numPr>
          <w:ilvl w:val="0"/>
          <w:numId w:val="0"/>
        </w:numPr>
        <w:ind w:firstLine="426"/>
        <w:jc w:val="both"/>
        <w:rPr>
          <w:rFonts w:eastAsia="Arial"/>
          <w:b w:val="0"/>
          <w:bCs/>
        </w:rPr>
      </w:pPr>
      <w:proofErr w:type="spellStart"/>
      <w:r w:rsidRPr="000B094B">
        <w:rPr>
          <w:rFonts w:eastAsia="Arial"/>
          <w:b w:val="0"/>
          <w:bCs/>
        </w:rPr>
        <w:t>Ridwanto</w:t>
      </w:r>
      <w:proofErr w:type="spellEnd"/>
      <w:r w:rsidRPr="000B094B">
        <w:rPr>
          <w:rFonts w:eastAsia="Arial"/>
          <w:b w:val="0"/>
          <w:bCs/>
        </w:rPr>
        <w:t xml:space="preserve"> further explained that the implementation of the even-even UAS for the 2019/2020 academic year online, the requirements for taking part in the UAS are to pay off stage IV tuition fees for 2017-2019 </w:t>
      </w:r>
      <w:proofErr w:type="spellStart"/>
      <w:r w:rsidRPr="000B094B">
        <w:rPr>
          <w:rFonts w:eastAsia="Arial"/>
          <w:b w:val="0"/>
          <w:bCs/>
        </w:rPr>
        <w:t>stambuk</w:t>
      </w:r>
      <w:proofErr w:type="spellEnd"/>
      <w:r w:rsidRPr="000B094B">
        <w:rPr>
          <w:rFonts w:eastAsia="Arial"/>
          <w:b w:val="0"/>
          <w:bCs/>
        </w:rPr>
        <w:t xml:space="preserve"> students and phase V SPP for 2013-2016 </w:t>
      </w:r>
      <w:proofErr w:type="spellStart"/>
      <w:r w:rsidRPr="000B094B">
        <w:rPr>
          <w:rFonts w:eastAsia="Arial"/>
          <w:b w:val="0"/>
          <w:bCs/>
        </w:rPr>
        <w:t>stambuk</w:t>
      </w:r>
      <w:proofErr w:type="spellEnd"/>
      <w:r w:rsidRPr="000B094B">
        <w:rPr>
          <w:rFonts w:eastAsia="Arial"/>
          <w:b w:val="0"/>
          <w:bCs/>
        </w:rPr>
        <w:t xml:space="preserve"> students, credit/internet quota assistance is given to students for 3 months namely March-May, extending the implementation of working from home for employees, functionaries, lecturers and teachers in the UMN Al </w:t>
      </w:r>
      <w:proofErr w:type="spellStart"/>
      <w:r w:rsidRPr="000B094B">
        <w:rPr>
          <w:rFonts w:eastAsia="Arial"/>
          <w:b w:val="0"/>
          <w:bCs/>
        </w:rPr>
        <w:t>Washliyah</w:t>
      </w:r>
      <w:proofErr w:type="spellEnd"/>
      <w:r w:rsidRPr="000B094B">
        <w:rPr>
          <w:rFonts w:eastAsia="Arial"/>
          <w:b w:val="0"/>
          <w:bCs/>
        </w:rPr>
        <w:t xml:space="preserve"> target school environment </w:t>
      </w:r>
      <w:r w:rsidRPr="000B094B">
        <w:rPr>
          <w:rFonts w:eastAsia="Arial"/>
          <w:b w:val="0"/>
          <w:bCs/>
          <w:vertAlign w:val="superscript"/>
        </w:rPr>
        <w:fldChar w:fldCharType="begin" w:fldLock="1"/>
      </w:r>
      <w:r w:rsidRPr="000B094B">
        <w:rPr>
          <w:rFonts w:eastAsia="Arial"/>
          <w:b w:val="0"/>
          <w:bCs/>
        </w:rPr>
        <w:instrText>ADDIN CSL_CITATION {"citationItems":[{"id":"ITEM-1","itemData":{"author":[{"dropping-particle":"","family":"www.realitasonline.id","given":"","non-dropping-particle":"","parse-names":false,"suffix":""}],"container-title":"www.realitasonline.id","id":"ITEM-1","issued":{"date-parts":[["2020","4","8"]]},"publisher-place":"Medan","title":"UMN Al Washliyah Beri Bantuan Paket Internet Mahasiswa Saat Corona","type":"article-newspaper"},"uris":["http://www.mendeley.com/documents/?uuid=2541496a-d203-4464-8bec-53a3d6ba2833"]}],"mendeley":{"formattedCitation":"(www.realitasonline.id, 2020)","plainTextFormattedCitation":"(www.realitasonline.id, 2020)","previouslyFormattedCitation":"(www.realitasonline.id, 2020)"},"properties":{"noteIndex":0},"schema":"https://github.com/citation-style-language/schema/raw/master/csl-citation.json"}</w:instrText>
      </w:r>
      <w:r w:rsidRPr="000B094B">
        <w:rPr>
          <w:rFonts w:eastAsia="Arial"/>
          <w:b w:val="0"/>
          <w:bCs/>
          <w:vertAlign w:val="superscript"/>
        </w:rPr>
        <w:fldChar w:fldCharType="separate"/>
      </w:r>
      <w:r w:rsidRPr="000B094B">
        <w:rPr>
          <w:rFonts w:eastAsia="Arial"/>
          <w:b w:val="0"/>
          <w:bCs/>
        </w:rPr>
        <w:t>(www.realitasonline.id, 2020)</w:t>
      </w:r>
      <w:r w:rsidRPr="000B094B">
        <w:rPr>
          <w:rFonts w:eastAsia="Arial"/>
          <w:b w:val="0"/>
          <w:bCs/>
        </w:rPr>
        <w:fldChar w:fldCharType="end"/>
      </w:r>
      <w:r w:rsidRPr="000B094B">
        <w:rPr>
          <w:rFonts w:eastAsia="Arial"/>
          <w:b w:val="0"/>
          <w:bCs/>
        </w:rPr>
        <w:t>.</w:t>
      </w:r>
    </w:p>
    <w:p w14:paraId="729D4E90" w14:textId="77777777" w:rsidR="000B094B" w:rsidRPr="000B094B" w:rsidRDefault="000B094B" w:rsidP="00BD1045">
      <w:pPr>
        <w:pStyle w:val="Alishlah21heading1"/>
        <w:numPr>
          <w:ilvl w:val="0"/>
          <w:numId w:val="30"/>
        </w:numPr>
        <w:ind w:left="360"/>
        <w:rPr>
          <w:rFonts w:eastAsia="Arial"/>
          <w:i/>
          <w:iCs/>
        </w:rPr>
      </w:pPr>
      <w:r w:rsidRPr="000B094B">
        <w:rPr>
          <w:rFonts w:eastAsia="Arial"/>
          <w:i/>
          <w:iCs/>
        </w:rPr>
        <w:t>Campus Pillar</w:t>
      </w:r>
    </w:p>
    <w:p w14:paraId="04CA0270" w14:textId="77777777" w:rsidR="00BD1045" w:rsidRPr="00BD1045" w:rsidRDefault="000B094B" w:rsidP="00BD1045">
      <w:pPr>
        <w:pStyle w:val="Alishlah21heading1"/>
        <w:numPr>
          <w:ilvl w:val="0"/>
          <w:numId w:val="0"/>
        </w:numPr>
        <w:ind w:firstLine="360"/>
        <w:jc w:val="both"/>
        <w:rPr>
          <w:rFonts w:eastAsia="Arial"/>
          <w:b w:val="0"/>
          <w:bCs/>
        </w:rPr>
      </w:pPr>
      <w:r w:rsidRPr="000B094B">
        <w:rPr>
          <w:rFonts w:eastAsia="Arial"/>
          <w:b w:val="0"/>
          <w:bCs/>
        </w:rPr>
        <w:t xml:space="preserve">These three pillars or also given the term Tri </w:t>
      </w:r>
      <w:proofErr w:type="spellStart"/>
      <w:r w:rsidRPr="000B094B">
        <w:rPr>
          <w:rFonts w:eastAsia="Arial"/>
          <w:b w:val="0"/>
          <w:bCs/>
        </w:rPr>
        <w:t>Darma</w:t>
      </w:r>
      <w:proofErr w:type="spellEnd"/>
      <w:r w:rsidRPr="000B094B">
        <w:rPr>
          <w:rFonts w:eastAsia="Arial"/>
          <w:b w:val="0"/>
          <w:bCs/>
        </w:rPr>
        <w:t xml:space="preserve"> of Higher Education are then used as parameters in moving campus academics. The weight of the institution on one of them will reflect the typology of the campus itself. Then came the term "</w:t>
      </w:r>
      <w:proofErr w:type="spellStart"/>
      <w:r w:rsidRPr="000B094B">
        <w:rPr>
          <w:rFonts w:eastAsia="Arial"/>
          <w:b w:val="0"/>
          <w:bCs/>
          <w:i/>
        </w:rPr>
        <w:t>Kampus</w:t>
      </w:r>
      <w:proofErr w:type="spellEnd"/>
      <w:r w:rsidRPr="000B094B">
        <w:rPr>
          <w:rFonts w:eastAsia="Arial"/>
          <w:b w:val="0"/>
          <w:bCs/>
          <w:i/>
        </w:rPr>
        <w:t xml:space="preserve"> </w:t>
      </w:r>
      <w:proofErr w:type="spellStart"/>
      <w:r w:rsidRPr="000B094B">
        <w:rPr>
          <w:rFonts w:eastAsia="Arial"/>
          <w:b w:val="0"/>
          <w:bCs/>
          <w:i/>
        </w:rPr>
        <w:t>Mengajar</w:t>
      </w:r>
      <w:proofErr w:type="spellEnd"/>
      <w:r w:rsidRPr="000B094B">
        <w:rPr>
          <w:rFonts w:eastAsia="Arial"/>
          <w:b w:val="0"/>
          <w:bCs/>
          <w:i/>
        </w:rPr>
        <w:t>”</w:t>
      </w:r>
      <w:r w:rsidRPr="000B094B">
        <w:rPr>
          <w:rFonts w:eastAsia="Arial"/>
          <w:b w:val="0"/>
          <w:bCs/>
        </w:rPr>
        <w:t xml:space="preserve"> (Teaching University) which in simple terms means that the campus still provides a portion as an institution with the most quantity of teaching compared to the other two things. There is also the term "research university" campus which indicates where the research version in the learning system has begun to allocate academic resources for research activities, or even the same size as the teaching process. There is another "</w:t>
      </w:r>
      <w:proofErr w:type="spellStart"/>
      <w:r w:rsidRPr="000B094B">
        <w:rPr>
          <w:rFonts w:eastAsia="Arial"/>
          <w:b w:val="0"/>
          <w:bCs/>
        </w:rPr>
        <w:t>entrepeneur</w:t>
      </w:r>
      <w:proofErr w:type="spellEnd"/>
      <w:r w:rsidRPr="000B094B">
        <w:rPr>
          <w:rFonts w:eastAsia="Arial"/>
          <w:b w:val="0"/>
          <w:bCs/>
        </w:rPr>
        <w:t xml:space="preserve"> university", "word class university" and a number of other mentions that indicate the weight and certain criteria of a campus.</w:t>
      </w:r>
    </w:p>
    <w:p w14:paraId="6E4836C9" w14:textId="77777777" w:rsidR="00BD1045" w:rsidRPr="00BD1045" w:rsidRDefault="000B094B" w:rsidP="00BD1045">
      <w:pPr>
        <w:pStyle w:val="Alishlah21heading1"/>
        <w:numPr>
          <w:ilvl w:val="0"/>
          <w:numId w:val="0"/>
        </w:numPr>
        <w:ind w:firstLine="360"/>
        <w:jc w:val="both"/>
        <w:rPr>
          <w:rFonts w:eastAsia="Arial"/>
          <w:b w:val="0"/>
          <w:bCs/>
        </w:rPr>
      </w:pPr>
      <w:r w:rsidRPr="000B094B">
        <w:rPr>
          <w:rFonts w:eastAsia="Arial"/>
          <w:b w:val="0"/>
          <w:bCs/>
        </w:rPr>
        <w:t xml:space="preserve">When President Joko Widodo appointed the Minister of Education and Culture </w:t>
      </w:r>
      <w:proofErr w:type="spellStart"/>
      <w:r w:rsidRPr="000B094B">
        <w:rPr>
          <w:rFonts w:eastAsia="Arial"/>
          <w:b w:val="0"/>
          <w:bCs/>
        </w:rPr>
        <w:t>Nadiem</w:t>
      </w:r>
      <w:proofErr w:type="spellEnd"/>
      <w:r w:rsidRPr="000B094B">
        <w:rPr>
          <w:rFonts w:eastAsia="Arial"/>
          <w:b w:val="0"/>
          <w:bCs/>
        </w:rPr>
        <w:t xml:space="preserve"> </w:t>
      </w:r>
      <w:proofErr w:type="spellStart"/>
      <w:r w:rsidRPr="000B094B">
        <w:rPr>
          <w:rFonts w:eastAsia="Arial"/>
          <w:b w:val="0"/>
          <w:bCs/>
        </w:rPr>
        <w:t>Makarim</w:t>
      </w:r>
      <w:proofErr w:type="spellEnd"/>
      <w:r w:rsidRPr="000B094B">
        <w:rPr>
          <w:rFonts w:eastAsia="Arial"/>
          <w:b w:val="0"/>
          <w:bCs/>
        </w:rPr>
        <w:t>, another term was later attached to the campus, namely "</w:t>
      </w:r>
      <w:proofErr w:type="spellStart"/>
      <w:r w:rsidRPr="000B094B">
        <w:rPr>
          <w:rFonts w:eastAsia="Arial"/>
          <w:b w:val="0"/>
          <w:bCs/>
        </w:rPr>
        <w:t>Kampus</w:t>
      </w:r>
      <w:proofErr w:type="spellEnd"/>
      <w:r w:rsidRPr="000B094B">
        <w:rPr>
          <w:rFonts w:eastAsia="Arial"/>
          <w:b w:val="0"/>
          <w:bCs/>
        </w:rPr>
        <w:t xml:space="preserve"> Merdeka". Merdeka Campus emphasizes campus governance policies that allow students to "hone" their scientific skills not only at tertiary institutions, but also at other universities, or even other institutions. In the </w:t>
      </w:r>
      <w:r w:rsidRPr="000B094B">
        <w:rPr>
          <w:rFonts w:eastAsia="Arial"/>
          <w:b w:val="0"/>
          <w:bCs/>
          <w:i/>
        </w:rPr>
        <w:t>Merdeka</w:t>
      </w:r>
      <w:r w:rsidRPr="000B094B">
        <w:rPr>
          <w:rFonts w:eastAsia="Arial"/>
          <w:b w:val="0"/>
          <w:bCs/>
        </w:rPr>
        <w:t xml:space="preserve"> Campus students are also given a certain amount of freedom to formulate strategies to increase their capacity by attaching themselves to other agencies for a longer duration than what has been normally done so far.</w:t>
      </w:r>
    </w:p>
    <w:p w14:paraId="43073A10" w14:textId="3045512F" w:rsidR="00206574" w:rsidRPr="00BD1045" w:rsidRDefault="000B094B" w:rsidP="00BD1045">
      <w:pPr>
        <w:pStyle w:val="Alishlah21heading1"/>
        <w:numPr>
          <w:ilvl w:val="0"/>
          <w:numId w:val="0"/>
        </w:numPr>
        <w:ind w:firstLine="360"/>
        <w:jc w:val="both"/>
        <w:rPr>
          <w:rFonts w:eastAsia="Arial"/>
          <w:b w:val="0"/>
          <w:bCs/>
        </w:rPr>
      </w:pPr>
      <w:r w:rsidRPr="00BD1045">
        <w:rPr>
          <w:rFonts w:eastAsia="Arial"/>
          <w:b w:val="0"/>
          <w:bCs/>
          <w:lang w:val="en-ID"/>
        </w:rPr>
        <w:t>If mapped out further, all the "labels" that are widely attached to campuses (teaching, research, word classes, and so on) are symbolic efforts so that campuses in Indonesia have similarities (of course in a positive sense) with other campuses abroad. Each slice that shows similarities, is then proud of as an achievement that has been achieved by every university that has achieved i</w:t>
      </w:r>
      <w:r w:rsidR="00BD1045" w:rsidRPr="00BD1045">
        <w:rPr>
          <w:rFonts w:eastAsia="Arial"/>
          <w:b w:val="0"/>
          <w:bCs/>
          <w:lang w:val="en-ID"/>
        </w:rPr>
        <w:t>t</w:t>
      </w:r>
      <w:r w:rsidR="00206574" w:rsidRPr="00BD1045">
        <w:rPr>
          <w:rFonts w:eastAsia="Arial"/>
          <w:b w:val="0"/>
          <w:bCs/>
        </w:rPr>
        <w:t>.</w:t>
      </w:r>
    </w:p>
    <w:p w14:paraId="5ACB07DD" w14:textId="77777777" w:rsidR="00BD1045" w:rsidRDefault="00BD1045" w:rsidP="00BD1045">
      <w:pPr>
        <w:pStyle w:val="root-block-node"/>
        <w:numPr>
          <w:ilvl w:val="0"/>
          <w:numId w:val="30"/>
        </w:numPr>
        <w:ind w:left="360"/>
        <w:jc w:val="both"/>
        <w:rPr>
          <w:rFonts w:ascii="Palatino Linotype" w:eastAsia="Arial" w:hAnsi="Palatino Linotype"/>
          <w:b/>
          <w:bCs/>
          <w:snapToGrid w:val="0"/>
          <w:color w:val="000000"/>
          <w:sz w:val="20"/>
          <w:szCs w:val="22"/>
          <w:lang w:val="af-ZA" w:eastAsia="zh-CN" w:bidi="en-US"/>
        </w:rPr>
      </w:pPr>
      <w:r w:rsidRPr="00BD1045">
        <w:rPr>
          <w:rFonts w:ascii="Palatino Linotype" w:eastAsia="Arial" w:hAnsi="Palatino Linotype"/>
          <w:b/>
          <w:i/>
          <w:snapToGrid w:val="0"/>
          <w:color w:val="000000"/>
          <w:sz w:val="20"/>
          <w:szCs w:val="22"/>
          <w:lang w:val="en-ID" w:eastAsia="zh-CN" w:bidi="en-US"/>
        </w:rPr>
        <w:t xml:space="preserve">Merdeka </w:t>
      </w:r>
      <w:r w:rsidRPr="00BD1045">
        <w:rPr>
          <w:rFonts w:ascii="Palatino Linotype" w:eastAsia="Arial" w:hAnsi="Palatino Linotype"/>
          <w:b/>
          <w:snapToGrid w:val="0"/>
          <w:color w:val="000000"/>
          <w:sz w:val="20"/>
          <w:szCs w:val="22"/>
          <w:lang w:val="en-ID" w:eastAsia="zh-CN" w:bidi="en-US"/>
        </w:rPr>
        <w:t>(Freedom) Meaning</w:t>
      </w:r>
      <w:r w:rsidRPr="00BD1045">
        <w:rPr>
          <w:rFonts w:ascii="Palatino Linotype" w:eastAsia="Arial" w:hAnsi="Palatino Linotype"/>
          <w:b/>
          <w:bCs/>
          <w:snapToGrid w:val="0"/>
          <w:color w:val="000000"/>
          <w:sz w:val="20"/>
          <w:szCs w:val="22"/>
          <w:lang w:val="af-ZA" w:eastAsia="zh-CN" w:bidi="en-US"/>
        </w:rPr>
        <w:t xml:space="preserve"> </w:t>
      </w:r>
    </w:p>
    <w:p w14:paraId="256C9F87"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However, if we take a deeper look, the Minister's proposal regarding the Independent Campus is even more genuine, pure, and of course very down-to-earth (Indonesian). The choice of the phrase "independence" which of course cannot be attributed to other campuses abroad. Because the phrase </w:t>
      </w:r>
      <w:r w:rsidRPr="00BD1045">
        <w:rPr>
          <w:rFonts w:ascii="Palatino Linotype" w:eastAsia="Arial" w:hAnsi="Palatino Linotype"/>
          <w:bCs/>
          <w:i/>
          <w:snapToGrid w:val="0"/>
          <w:color w:val="000000"/>
          <w:sz w:val="20"/>
          <w:lang w:eastAsia="zh-CN" w:bidi="en-US"/>
        </w:rPr>
        <w:t>Merdeka</w:t>
      </w:r>
      <w:r w:rsidRPr="00BD1045">
        <w:rPr>
          <w:rFonts w:ascii="Palatino Linotype" w:eastAsia="Arial" w:hAnsi="Palatino Linotype"/>
          <w:bCs/>
          <w:snapToGrid w:val="0"/>
          <w:color w:val="000000"/>
          <w:sz w:val="20"/>
          <w:lang w:eastAsia="zh-CN" w:bidi="en-US"/>
        </w:rPr>
        <w:t xml:space="preserve"> actually shows aspects of local strength (formerly often called local wisdom) which actually have not been raised seriously in campus governance in Indonesia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{"citationItems":[{"id":"ITEM-1","itemData":{"DOI":"10.1080/13642987.2020.1826450","ISSN":"1364-2987","author":[{"dropping-particle":"","family":"Aditya","given":"Zaka Firma","non-dropping-particle":"","parse-names":false,"suffix":""},{"dropping-particle":"","family":"Al-Fatih","given":"Sholahuddin","non-dropping-particle":"","parse-names":false,"suffix":""}],"container-title":"The International Journal of Human Rights","id":"ITEM-1","issue":"9","issued":{"date-parts":[["2021","10","21"]]},"page":"1395-1419","title":"Indonesian constitutional rights: expressing and purposing opinions on the internet","type":"article-journal","volume":"25"},"uris":["http://www.mendeley.com/documents/?uuid=1d59930e-157a-4099-ad06-c629b9d63bbf"]}],"mendeley":{"formattedCitation":"(Aditya &amp; Al-Fatih, 2021)","plainTextFormattedCitation":"(Aditya &amp; Al-Fatih, 2021)","previouslyFormattedCitation":"(Aditya &amp; Al-Fatih, 2021)"},"properties":{"noteIndex":0},"schema":"https://github.com/citation-style-language/schema/raw/master/csl-citation.json"}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(Aditya &amp; Al-</w:t>
      </w:r>
      <w:proofErr w:type="spellStart"/>
      <w:r w:rsidRPr="00BD1045">
        <w:rPr>
          <w:rFonts w:ascii="Palatino Linotype" w:eastAsia="Arial" w:hAnsi="Palatino Linotype"/>
          <w:bCs/>
          <w:snapToGrid w:val="0"/>
          <w:color w:val="000000"/>
          <w:sz w:val="20"/>
          <w:lang w:eastAsia="zh-CN" w:bidi="en-US"/>
        </w:rPr>
        <w:t>Fatih</w:t>
      </w:r>
      <w:proofErr w:type="spellEnd"/>
      <w:r w:rsidRPr="00BD1045">
        <w:rPr>
          <w:rFonts w:ascii="Palatino Linotype" w:eastAsia="Arial" w:hAnsi="Palatino Linotype"/>
          <w:bCs/>
          <w:snapToGrid w:val="0"/>
          <w:color w:val="000000"/>
          <w:sz w:val="20"/>
          <w:lang w:eastAsia="zh-CN" w:bidi="en-US"/>
        </w:rPr>
        <w:t>, 2021)</w:t>
      </w:r>
      <w:r w:rsidRPr="00BD1045">
        <w:rPr>
          <w:rFonts w:ascii="Palatino Linotype" w:eastAsia="Arial" w:hAnsi="Palatino Linotype"/>
          <w:bCs/>
          <w:snapToGrid w:val="0"/>
          <w:color w:val="000000"/>
          <w:sz w:val="20"/>
          <w:lang w:val="af-ZA" w:eastAsia="zh-CN" w:bidi="en-US"/>
        </w:rPr>
        <w:fldChar w:fldCharType="end"/>
      </w:r>
      <w:r w:rsidRPr="00BD1045">
        <w:rPr>
          <w:rFonts w:ascii="Palatino Linotype" w:eastAsia="Arial" w:hAnsi="Palatino Linotype"/>
          <w:bCs/>
          <w:snapToGrid w:val="0"/>
          <w:color w:val="000000"/>
          <w:sz w:val="20"/>
          <w:lang w:eastAsia="zh-CN" w:bidi="en-US"/>
        </w:rPr>
        <w:t>.</w:t>
      </w:r>
    </w:p>
    <w:p w14:paraId="594ACFDC" w14:textId="77777777" w:rsidR="00BD1045" w:rsidRDefault="00BD1045" w:rsidP="00BD1045">
      <w:pPr>
        <w:pStyle w:val="root-block-node"/>
        <w:ind w:firstLine="360"/>
        <w:jc w:val="both"/>
        <w:rPr>
          <w:rFonts w:ascii="Palatino Linotype" w:eastAsia="Arial" w:hAnsi="Palatino Linotype"/>
          <w:bCs/>
          <w:snapToGrid w:val="0"/>
          <w:color w:val="000000"/>
          <w:sz w:val="20"/>
          <w:lang w:val="af-ZA" w:eastAsia="zh-CN" w:bidi="en-US"/>
        </w:rPr>
      </w:pPr>
      <w:r w:rsidRPr="00BD1045">
        <w:rPr>
          <w:rFonts w:ascii="Palatino Linotype" w:eastAsia="Arial" w:hAnsi="Palatino Linotype"/>
          <w:bCs/>
          <w:snapToGrid w:val="0"/>
          <w:color w:val="000000"/>
          <w:sz w:val="20"/>
          <w:lang w:eastAsia="zh-CN" w:bidi="en-US"/>
        </w:rPr>
        <w:t xml:space="preserve">On another philosophical aspect, this phrase </w:t>
      </w:r>
      <w:r w:rsidRPr="00BD1045">
        <w:rPr>
          <w:rFonts w:ascii="Palatino Linotype" w:eastAsia="Arial" w:hAnsi="Palatino Linotype"/>
          <w:bCs/>
          <w:i/>
          <w:snapToGrid w:val="0"/>
          <w:color w:val="000000"/>
          <w:sz w:val="20"/>
          <w:lang w:eastAsia="zh-CN" w:bidi="en-US"/>
        </w:rPr>
        <w:t xml:space="preserve">Merdeka </w:t>
      </w:r>
      <w:r w:rsidRPr="00BD1045">
        <w:rPr>
          <w:rFonts w:ascii="Palatino Linotype" w:eastAsia="Arial" w:hAnsi="Palatino Linotype"/>
          <w:bCs/>
          <w:snapToGrid w:val="0"/>
          <w:color w:val="000000"/>
          <w:sz w:val="20"/>
          <w:lang w:eastAsia="zh-CN" w:bidi="en-US"/>
        </w:rPr>
        <w:t xml:space="preserve">reminds us that in campus institutions, we have the core of human being, namely independence and freedom. Where in Article 28 of the 1945 Constitution, this aspect of independence is also clearly guaranteed in the sentence: "Freedom to associate and assemble, express thoughts verbally and in writing and so on is stipulated by law."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{"citationItems":[{"id":"ITEM-1","itemData":{"DOI":"10.15294/jllr.v2i2.46501","ISSN":"2715-0968","abstract":"Law No. 21 of 2000 concerning Labor Unions is established freely, openly, independently, democratically and are also responsible for workers to fight for the interests of workers and their families. Likewise, unions are expected to be able to coordinate the realization of the right to unionize to the fullest. Because everyone is given the right to freely form or participate in membership or become administrators in community organizations in the territory of the Republic of Indonesia. The right of association for workers, as regulated in the International Labor Organization (ILO) Convention Number 87 concerning Freedom of Association and Protection of the Right to Organize. This paper is intended to analyze the concept of freedom of association and the dispute on the industrial relationship.","author":[{"dropping-particle":"","family":"Yunus","given":"Yunus","non-dropping-particle":"","parse-names":false,"suffix":""}],"container-title":"Journal of Law and Legal Reform","id":"ITEM-1","issue":"3","issued":{"date-parts":[["2021","7","31"]]},"page":"449-458","title":"Freedom of Association for Labours in the Industrial Relationship","type":"article-journal","volume":"2"},"uris":["http://www.mendeley.com/documents/?uuid=ae954d4d-94c8-4053-93de-5b00ca0060d0"]}],"mendeley":{"formattedCitation":"(Yunus, 2021)","plainTextFormattedCitation":"(Yunus, 2021)","previouslyFormattedCitation":"(Yunus, 2021)"},"properties":{"noteIndex":0},"schema":"https://github.com/citation-style-language/schema/raw/master/csl-citation.json"}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w:t>
      </w:r>
      <w:proofErr w:type="spellStart"/>
      <w:r w:rsidRPr="00BD1045">
        <w:rPr>
          <w:rFonts w:ascii="Palatino Linotype" w:eastAsia="Arial" w:hAnsi="Palatino Linotype"/>
          <w:bCs/>
          <w:snapToGrid w:val="0"/>
          <w:color w:val="000000"/>
          <w:sz w:val="20"/>
          <w:lang w:eastAsia="zh-CN" w:bidi="en-US"/>
        </w:rPr>
        <w:t>Yunus</w:t>
      </w:r>
      <w:proofErr w:type="spellEnd"/>
      <w:r w:rsidRPr="00BD1045">
        <w:rPr>
          <w:rFonts w:ascii="Palatino Linotype" w:eastAsia="Arial" w:hAnsi="Palatino Linotype"/>
          <w:bCs/>
          <w:snapToGrid w:val="0"/>
          <w:color w:val="000000"/>
          <w:sz w:val="20"/>
          <w:lang w:eastAsia="zh-CN" w:bidi="en-US"/>
        </w:rPr>
        <w:t>, 2021)</w:t>
      </w:r>
      <w:r w:rsidRPr="00BD1045">
        <w:rPr>
          <w:rFonts w:ascii="Palatino Linotype" w:eastAsia="Arial" w:hAnsi="Palatino Linotype"/>
          <w:bCs/>
          <w:snapToGrid w:val="0"/>
          <w:color w:val="000000"/>
          <w:sz w:val="20"/>
          <w:lang w:val="af-ZA" w:eastAsia="zh-CN" w:bidi="en-US"/>
        </w:rPr>
        <w:fldChar w:fldCharType="end"/>
      </w:r>
      <w:r>
        <w:rPr>
          <w:rFonts w:ascii="Palatino Linotype" w:eastAsia="Arial" w:hAnsi="Palatino Linotype"/>
          <w:bCs/>
          <w:snapToGrid w:val="0"/>
          <w:color w:val="000000"/>
          <w:sz w:val="20"/>
          <w:lang w:val="af-ZA" w:eastAsia="zh-CN" w:bidi="en-US"/>
        </w:rPr>
        <w:t>.</w:t>
      </w:r>
    </w:p>
    <w:p w14:paraId="20C6B1CA"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proofErr w:type="gramStart"/>
      <w:r w:rsidRPr="00BD1045">
        <w:rPr>
          <w:rFonts w:ascii="Palatino Linotype" w:eastAsia="Arial" w:hAnsi="Palatino Linotype"/>
          <w:bCs/>
          <w:snapToGrid w:val="0"/>
          <w:color w:val="000000"/>
          <w:sz w:val="20"/>
          <w:lang w:eastAsia="zh-CN" w:bidi="en-US"/>
        </w:rPr>
        <w:t>So</w:t>
      </w:r>
      <w:proofErr w:type="gramEnd"/>
      <w:r w:rsidRPr="00BD1045">
        <w:rPr>
          <w:rFonts w:ascii="Palatino Linotype" w:eastAsia="Arial" w:hAnsi="Palatino Linotype"/>
          <w:bCs/>
          <w:snapToGrid w:val="0"/>
          <w:color w:val="000000"/>
          <w:sz w:val="20"/>
          <w:lang w:eastAsia="zh-CN" w:bidi="en-US"/>
        </w:rPr>
        <w:t xml:space="preserve"> we can give a deeper meaning that the </w:t>
      </w:r>
      <w:r w:rsidRPr="00BD1045">
        <w:rPr>
          <w:rFonts w:ascii="Palatino Linotype" w:eastAsia="Arial" w:hAnsi="Palatino Linotype"/>
          <w:bCs/>
          <w:i/>
          <w:snapToGrid w:val="0"/>
          <w:color w:val="000000"/>
          <w:sz w:val="20"/>
          <w:lang w:eastAsia="zh-CN" w:bidi="en-US"/>
        </w:rPr>
        <w:t xml:space="preserve">Merdeka </w:t>
      </w:r>
      <w:r w:rsidRPr="00BD1045">
        <w:rPr>
          <w:rFonts w:ascii="Palatino Linotype" w:eastAsia="Arial" w:hAnsi="Palatino Linotype"/>
          <w:bCs/>
          <w:snapToGrid w:val="0"/>
          <w:color w:val="000000"/>
          <w:sz w:val="20"/>
          <w:lang w:eastAsia="zh-CN" w:bidi="en-US"/>
        </w:rPr>
        <w:t xml:space="preserve">Campus is a Campus that must have the capacity to become a forum for gathering and expressing thoughts in oral and written form. This was then transformed by Mas Minister into structured (guaranteed) freedom for students to hone their skills. Where the decision must give a different value to the students themselves. The ministry has technically issued its guidelines in the “Free Learning Guidebook – </w:t>
      </w:r>
      <w:r w:rsidRPr="00BD1045">
        <w:rPr>
          <w:rFonts w:ascii="Palatino Linotype" w:eastAsia="Arial" w:hAnsi="Palatino Linotype"/>
          <w:bCs/>
          <w:i/>
          <w:snapToGrid w:val="0"/>
          <w:color w:val="000000"/>
          <w:sz w:val="20"/>
          <w:lang w:eastAsia="zh-CN" w:bidi="en-US"/>
        </w:rPr>
        <w:t>Merdeka</w:t>
      </w:r>
      <w:r w:rsidRPr="00BD1045">
        <w:rPr>
          <w:rFonts w:ascii="Palatino Linotype" w:eastAsia="Arial" w:hAnsi="Palatino Linotype"/>
          <w:bCs/>
          <w:snapToGrid w:val="0"/>
          <w:color w:val="000000"/>
          <w:sz w:val="20"/>
          <w:lang w:eastAsia="zh-CN" w:bidi="en-US"/>
        </w:rPr>
        <w:t xml:space="preserve"> Campus. </w:t>
      </w:r>
    </w:p>
    <w:p w14:paraId="5D0B11C6" w14:textId="019F518D" w:rsidR="006006DE"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val="en-ID" w:eastAsia="zh-CN" w:bidi="en-US"/>
        </w:rPr>
        <w:t>To be able to carry out the independent campus agenda, strong leadership is needed. Strong leadership, in a sociological perspective, is supported by a representative leadership model. Where this leadership model is able to become a vessel and mouthpiece for various strategic groups within the campus institution itself.</w:t>
      </w:r>
    </w:p>
    <w:p w14:paraId="33B263FE" w14:textId="77777777" w:rsidR="00BD1045" w:rsidRPr="00BD1045" w:rsidRDefault="00BD1045" w:rsidP="00BD1045">
      <w:pPr>
        <w:pStyle w:val="root-block-node"/>
        <w:numPr>
          <w:ilvl w:val="0"/>
          <w:numId w:val="30"/>
        </w:numPr>
        <w:ind w:left="360"/>
        <w:jc w:val="both"/>
        <w:rPr>
          <w:rFonts w:ascii="Palatino Linotype" w:eastAsia="Arial" w:hAnsi="Palatino Linotype"/>
          <w:b/>
          <w:snapToGrid w:val="0"/>
          <w:color w:val="000000"/>
          <w:sz w:val="20"/>
          <w:lang w:eastAsia="zh-CN" w:bidi="en-US"/>
        </w:rPr>
      </w:pPr>
      <w:r w:rsidRPr="00BD1045">
        <w:rPr>
          <w:rFonts w:ascii="Palatino Linotype" w:eastAsia="Arial" w:hAnsi="Palatino Linotype"/>
          <w:b/>
          <w:i/>
          <w:snapToGrid w:val="0"/>
          <w:color w:val="000000"/>
          <w:sz w:val="20"/>
          <w:lang w:eastAsia="zh-CN" w:bidi="en-US"/>
        </w:rPr>
        <w:t>Merdeka</w:t>
      </w:r>
      <w:r w:rsidRPr="00BD1045">
        <w:rPr>
          <w:rFonts w:ascii="Palatino Linotype" w:eastAsia="Arial" w:hAnsi="Palatino Linotype"/>
          <w:b/>
          <w:snapToGrid w:val="0"/>
          <w:color w:val="000000"/>
          <w:sz w:val="20"/>
          <w:lang w:eastAsia="zh-CN" w:bidi="en-US"/>
        </w:rPr>
        <w:t xml:space="preserve"> Leadership</w:t>
      </w:r>
    </w:p>
    <w:p w14:paraId="35439A32"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In managing the dynamics of the organization, the leader of a campus ideally has sufficient roots. In other words, leaders who are born out of nowhere will be in a hurry when managing the dynamics of campus people who do have academic freedom mandatory. So, instead of using the dynamics and diversity and criticism within this institution as the energy to take a positive leap, such a leader will see the dynamics as a threat. Leaders who do not grow from the bottom also tend not to have a vision that is radically based/rooted in the values of progress.</w:t>
      </w:r>
    </w:p>
    <w:p w14:paraId="24576E2D"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Indeed, leadership is the reproduction of a socio-cultural system that enlarges (grows) in a habitus. Habitus is a cognitive structure that mediates between social realities. Habitus is also the result of learning through parenting, play activities, and community education. Here the importance of each leader's track record will strengthen the quality of his leadership. Because in it, a leader is forged not only by knowledge, but also by time and experience.</w:t>
      </w:r>
    </w:p>
    <w:p w14:paraId="7E26320A"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Including the importance of these sociological roots are those who are entrusted with leading a campus institution. As an institution that produces science and technology, leaders who have social, cultural, epistemic and local wisdom roots, will have an impact on accelerating the advancement of their institutions, understanding constraints holistically, and </w:t>
      </w:r>
      <w:proofErr w:type="spellStart"/>
      <w:r w:rsidRPr="00BD1045">
        <w:rPr>
          <w:rFonts w:ascii="Palatino Linotype" w:eastAsia="Arial" w:hAnsi="Palatino Linotype"/>
          <w:bCs/>
          <w:snapToGrid w:val="0"/>
          <w:color w:val="000000"/>
          <w:sz w:val="20"/>
          <w:lang w:eastAsia="zh-CN" w:bidi="en-US"/>
        </w:rPr>
        <w:t>dynamicizing</w:t>
      </w:r>
      <w:proofErr w:type="spellEnd"/>
      <w:r w:rsidRPr="00BD1045">
        <w:rPr>
          <w:rFonts w:ascii="Palatino Linotype" w:eastAsia="Arial" w:hAnsi="Palatino Linotype"/>
          <w:bCs/>
          <w:snapToGrid w:val="0"/>
          <w:color w:val="000000"/>
          <w:sz w:val="20"/>
          <w:lang w:eastAsia="zh-CN" w:bidi="en-US"/>
        </w:rPr>
        <w:t xml:space="preserve"> diversity as an energy for change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{"citationItems":[{"id":"ITEM-1","itemData":{"DOI":"10.1111/1467-9655.12091","ISSN":"13590987","author":[{"dropping-particle":"","family":"Bear","given":"Laura","non-dropping-particle":"","parse-names":false,"suffix":""}],"container-title":"Journal of the Royal Anthropological Institute","id":"ITEM-1","issued":{"date-parts":[["2014","4"]]},"page":"3-30","title":"Doubt, conflict, mediation: the anthropology of modern time","type":"article-journal","volume":"20"},"uris":["http://www.mendeley.com/documents/?uuid=19dec8c4-9450-4a52-92e2-16d7ce991696"]}],"mendeley":{"formattedCitation":"(Bear, 2014)","plainTextFormattedCitation":"(Bear, 2014)","previouslyFormattedCitation":"(Bear, 2014)"},"properties":{"noteIndex":0},"schema":"https://github.com/citation-style-language/schema/raw/master/csl-citation.json"}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(Bear, 2014)</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w:t>
      </w:r>
    </w:p>
    <w:p w14:paraId="7CDE4622"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The presence of campus leaders in the era of the </w:t>
      </w:r>
      <w:r w:rsidRPr="00BD1045">
        <w:rPr>
          <w:rFonts w:ascii="Palatino Linotype" w:eastAsia="Arial" w:hAnsi="Palatino Linotype"/>
          <w:bCs/>
          <w:i/>
          <w:snapToGrid w:val="0"/>
          <w:color w:val="000000"/>
          <w:sz w:val="20"/>
          <w:lang w:eastAsia="zh-CN" w:bidi="en-US"/>
        </w:rPr>
        <w:t xml:space="preserve">Merdeka </w:t>
      </w:r>
      <w:r w:rsidRPr="00BD1045">
        <w:rPr>
          <w:rFonts w:ascii="Palatino Linotype" w:eastAsia="Arial" w:hAnsi="Palatino Linotype"/>
          <w:bCs/>
          <w:snapToGrid w:val="0"/>
          <w:color w:val="000000"/>
          <w:sz w:val="20"/>
          <w:lang w:eastAsia="zh-CN" w:bidi="en-US"/>
        </w:rPr>
        <w:t xml:space="preserve">Campus became a new chapter in reinstating social change in a more rapid, directed and systematic manner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{"citationItems":[{"id":"ITEM-1","itemData":{"DOI":"10.24114/kjb.v9i2.18379","ISSN":"2301-5411","abstract":"Kebijakan Merdeka Belajar-Kampus Merdeka dikeluarkan oleh Menteri Pendidikan dan Kebudayaan Republik Indonesia, Nadiem Anwar Makarim. Kebijakan tersebut bertujuan untuk meningkatkan kompetensi lulusan, baik soft skills maupun hard skills , agar lebih siap dan relevan dengan kebutuhan zaman, menyiapkan lulusan sebagai pemimpin masa depan bangsa yang unggul dan berkepribadian. Program-program experiental learning dengan jalur yang fleksibel diharapkan akan dapat memfasilitasi mahasiswa mengembangkan potensinya sesuai dengan passion dan bakatnya. Jenis penelitian ini adalah kualitatif deskripsi. Data yang dianalisis ialah berupa Buku Panduan Merdeka Belajar-Kampus Merdeka terbitan Direktorat Jenderal Pendidikan Tinggi, Kementerian Pendidikan dan Kebudayaan (terbit tahun 2020) dan kegiatan pembelajaran di dalam Program Studi Pendidikan Bahasa dan Sastra Indonesia Fakultas Keguruan dan Ilmu Pendidikan Universitas Ahmad Dahlan, terutama pada TA 2019/2020. Hasil penelitian menunjukkan bahwa konsep Merdeka Belajar-Kampus Merdeka terwujud dalam delapan bentuk kegiatan pembelajaran, yaitu pertukaran pelajar, magang/praktik kerja, asistensi mengajar di satuan pendidikan, penelitian/riset, proyek kemanusiaan, kegiatan wirausaha, studi/proyek independen, dan membangun desa/kuliah kerja nyata tematik. Di Program Studi PBSI FKIP UAD, terdapat mata kuliah Penyuntingan yang mendorong mahasiswa untuk magang penyuntingan di penerbit Samudra Biru dan K-Media, mata kuliah KKN yang mendorong mahasiswa aktif membangun desa, dan mata kuliah Penelitian Bahasa, Penelitian Sastra, dan Penelitian Pendidikan yang mendorong mahasiswa melakukan penelitian. Kata kunci: Merdeka Belajar, Kampus Merdeka, Pendidikan Bahasa Indonesia","author":[{"dropping-particle":"","family":"Sudaryanto","given":"Sudaryanto","non-dropping-particle":"","parse-names":false,"suffix":""},{"dropping-particle":"","family":"Widayati","given":"Wahyu","non-dropping-particle":"","parse-names":false,"suffix":""},{"dropping-particle":"","family":"Amalia","given":"Risza","non-dropping-particle":"","parse-names":false,"suffix":""}],"container-title":"Kode: Jurnal Bahasa","id":"ITEM-1","issue":"2","issued":{"date-parts":[["2020","6","9"]]},"page":"78-93","title":"Konsep Merdeka Belajar-Kampus Merdeka dan Aplikasinya dalam Pendidikan Bahasa (dan Sastra) Indonesia","type":"article-journal","volume":"9"},"uris":["http://www.mendeley.com/documents/?uuid=8222d36f-de16-4167-a4fa-52474b51e39d"]}],"mendeley":{"formattedCitation":"(Sudaryanto, Widayati, &amp; Amalia, 2020)","plainTextFormattedCitation":"(Sudaryanto, Widayati, &amp; Amalia, 2020)","previouslyFormattedCitation":"(Sudaryanto, Widayati, &amp; Amalia, 2020)"},"properties":{"noteIndex":0},"schema":"https://github.com/citation-style-language/schema/raw/master/csl-citation.json"}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w:t>
      </w:r>
      <w:proofErr w:type="spellStart"/>
      <w:r w:rsidRPr="00BD1045">
        <w:rPr>
          <w:rFonts w:ascii="Palatino Linotype" w:eastAsia="Arial" w:hAnsi="Palatino Linotype"/>
          <w:bCs/>
          <w:snapToGrid w:val="0"/>
          <w:color w:val="000000"/>
          <w:sz w:val="20"/>
          <w:lang w:eastAsia="zh-CN" w:bidi="en-US"/>
        </w:rPr>
        <w:t>Sudaryanto</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Widayati</w:t>
      </w:r>
      <w:proofErr w:type="spellEnd"/>
      <w:r w:rsidRPr="00BD1045">
        <w:rPr>
          <w:rFonts w:ascii="Palatino Linotype" w:eastAsia="Arial" w:hAnsi="Palatino Linotype"/>
          <w:bCs/>
          <w:snapToGrid w:val="0"/>
          <w:color w:val="000000"/>
          <w:sz w:val="20"/>
          <w:lang w:eastAsia="zh-CN" w:bidi="en-US"/>
        </w:rPr>
        <w:t>, &amp; Amalia, 2020)</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 xml:space="preserve">. But in practice, the hopes and values embodied in an independent campus sometimes feel "far from the fire". When many campus leaders actually attend because they are pushed from above, they do not pay attention to the epistemic cultural roots that exist on the campus, and a number of other socio-cultural </w:t>
      </w:r>
      <w:proofErr w:type="spellStart"/>
      <w:r w:rsidRPr="00BD1045">
        <w:rPr>
          <w:rFonts w:ascii="Palatino Linotype" w:eastAsia="Arial" w:hAnsi="Palatino Linotype"/>
          <w:bCs/>
          <w:snapToGrid w:val="0"/>
          <w:color w:val="000000"/>
          <w:sz w:val="20"/>
          <w:lang w:eastAsia="zh-CN" w:bidi="en-US"/>
        </w:rPr>
        <w:t>uncompetencies</w:t>
      </w:r>
      <w:proofErr w:type="spellEnd"/>
      <w:r w:rsidRPr="00BD1045">
        <w:rPr>
          <w:rFonts w:ascii="Palatino Linotype" w:eastAsia="Arial" w:hAnsi="Palatino Linotype"/>
          <w:bCs/>
          <w:snapToGrid w:val="0"/>
          <w:color w:val="000000"/>
          <w:sz w:val="20"/>
          <w:lang w:eastAsia="zh-CN" w:bidi="en-US"/>
        </w:rPr>
        <w:t>. As a result, many campuses do not become "houses of togetherness", but become private institutions where original, personal, and individualistic traits are expressed.</w:t>
      </w:r>
    </w:p>
    <w:p w14:paraId="431F1440" w14:textId="214F5E38" w:rsidR="0086722F" w:rsidRPr="0086722F" w:rsidRDefault="00BD1045" w:rsidP="00BD1045">
      <w:pPr>
        <w:pStyle w:val="root-block-node"/>
        <w:ind w:firstLine="360"/>
        <w:jc w:val="both"/>
        <w:rPr>
          <w:rFonts w:ascii="Palatino Linotype" w:eastAsia="Arial" w:hAnsi="Palatino Linotype"/>
          <w:bCs/>
          <w:snapToGrid w:val="0"/>
          <w:color w:val="000000"/>
          <w:sz w:val="20"/>
          <w:lang w:eastAsia="zh-CN" w:bidi="en-US"/>
        </w:rPr>
      </w:pPr>
      <w:proofErr w:type="gramStart"/>
      <w:r w:rsidRPr="00BD1045">
        <w:rPr>
          <w:rFonts w:ascii="Palatino Linotype" w:eastAsia="Arial" w:hAnsi="Palatino Linotype"/>
          <w:bCs/>
          <w:snapToGrid w:val="0"/>
          <w:color w:val="000000"/>
          <w:sz w:val="20"/>
          <w:lang w:val="en-ID" w:eastAsia="zh-CN" w:bidi="en-US"/>
        </w:rPr>
        <w:t>So</w:t>
      </w:r>
      <w:proofErr w:type="gramEnd"/>
      <w:r w:rsidRPr="00BD1045">
        <w:rPr>
          <w:rFonts w:ascii="Palatino Linotype" w:eastAsia="Arial" w:hAnsi="Palatino Linotype"/>
          <w:bCs/>
          <w:snapToGrid w:val="0"/>
          <w:color w:val="000000"/>
          <w:sz w:val="20"/>
          <w:lang w:val="en-ID" w:eastAsia="zh-CN" w:bidi="en-US"/>
        </w:rPr>
        <w:t xml:space="preserve"> this kind of leader model when present in a campus, instead of encouraging change, caring for progress, and managing the spirit of diversity, what happens is actually turning out the critical, creative, and productive light, and falling into the darkness of knowledge and wisdom. Hopefully we are kept away from this kind of campus leadership model.</w:t>
      </w:r>
    </w:p>
    <w:p w14:paraId="21002728" w14:textId="77777777" w:rsidR="00BD1045" w:rsidRPr="00BD1045" w:rsidRDefault="00BD1045" w:rsidP="00BD1045">
      <w:pPr>
        <w:pStyle w:val="root-block-node"/>
        <w:numPr>
          <w:ilvl w:val="0"/>
          <w:numId w:val="30"/>
        </w:numPr>
        <w:ind w:left="360"/>
        <w:jc w:val="both"/>
        <w:rPr>
          <w:rFonts w:ascii="Palatino Linotype" w:eastAsia="Arial" w:hAnsi="Palatino Linotype"/>
          <w:b/>
          <w:i/>
          <w:iCs/>
          <w:snapToGrid w:val="0"/>
          <w:color w:val="000000"/>
          <w:sz w:val="20"/>
          <w:lang w:eastAsia="zh-CN" w:bidi="en-US"/>
        </w:rPr>
      </w:pPr>
      <w:r w:rsidRPr="00BD1045">
        <w:rPr>
          <w:rFonts w:ascii="Palatino Linotype" w:eastAsia="Arial" w:hAnsi="Palatino Linotype"/>
          <w:b/>
          <w:i/>
          <w:iCs/>
          <w:snapToGrid w:val="0"/>
          <w:color w:val="000000"/>
          <w:sz w:val="20"/>
          <w:lang w:eastAsia="zh-CN" w:bidi="en-US"/>
        </w:rPr>
        <w:t xml:space="preserve">Online Learning at Nusantara Muslim University Al </w:t>
      </w:r>
      <w:proofErr w:type="spellStart"/>
      <w:r w:rsidRPr="00BD1045">
        <w:rPr>
          <w:rFonts w:ascii="Palatino Linotype" w:eastAsia="Arial" w:hAnsi="Palatino Linotype"/>
          <w:b/>
          <w:i/>
          <w:iCs/>
          <w:snapToGrid w:val="0"/>
          <w:color w:val="000000"/>
          <w:sz w:val="20"/>
          <w:lang w:eastAsia="zh-CN" w:bidi="en-US"/>
        </w:rPr>
        <w:t>Washliyah</w:t>
      </w:r>
      <w:proofErr w:type="spellEnd"/>
    </w:p>
    <w:p w14:paraId="12278625"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Nusantara Muslim University (UMN)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has 6 faculties namely FKIP, Law, Agriculture, Economics, Literature, and MIPA. Of the 6 faculties, there are dozens of study programs managed by UMN-AW, namely Counseling, PG PAUD, Mathematics Education, Physics Education, Economics Education, Indonesian Language Education, English Education, Pancasila and Citizenship Education, Law Studies, Social Economics Agriculture, English Literature, Accounting, Management and Pharmacy.</w:t>
      </w:r>
    </w:p>
    <w:p w14:paraId="72D82559" w14:textId="77777777" w:rsid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On May 23, 2008 UMN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was trusted by the government to open the Indonesian Language Education Postgraduate Program with permission no. 1666/D/T/2008. The response from the community was quite encouraging, at least hundreds of students and alumni were enrolled in the UMN-AW Indonesian Language Education Postgraduate program.</w:t>
      </w:r>
    </w:p>
    <w:p w14:paraId="3DA5B32E" w14:textId="0E0F0FA7" w:rsidR="00BD1045" w:rsidRPr="00BD1045" w:rsidRDefault="00BD1045" w:rsidP="00BD1045">
      <w:pPr>
        <w:pStyle w:val="root-block-node"/>
        <w:ind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Currently UMN-AW has around 300 staff from </w:t>
      </w:r>
      <w:proofErr w:type="spellStart"/>
      <w:r w:rsidRPr="00BD1045">
        <w:rPr>
          <w:rFonts w:ascii="Palatino Linotype" w:eastAsia="Arial" w:hAnsi="Palatino Linotype"/>
          <w:bCs/>
          <w:snapToGrid w:val="0"/>
          <w:color w:val="000000"/>
          <w:sz w:val="20"/>
          <w:lang w:eastAsia="zh-CN" w:bidi="en-US"/>
        </w:rPr>
        <w:t>Kopertis</w:t>
      </w:r>
      <w:proofErr w:type="spellEnd"/>
      <w:r w:rsidRPr="00BD1045">
        <w:rPr>
          <w:rFonts w:ascii="Palatino Linotype" w:eastAsia="Arial" w:hAnsi="Palatino Linotype"/>
          <w:bCs/>
          <w:snapToGrid w:val="0"/>
          <w:color w:val="000000"/>
          <w:sz w:val="20"/>
          <w:lang w:eastAsia="zh-CN" w:bidi="en-US"/>
        </w:rPr>
        <w:t xml:space="preserve">, Foundation and Extraordinary. As a percentage of educational qualifications, 85% have received a master's degree. Supporting facilities for academic activities are always carried out by UMN AW. Addressed at Jalan Garu II No 2; no. 52 and no. 93 Jl. Cross Medan </w:t>
      </w:r>
      <w:proofErr w:type="spellStart"/>
      <w:r w:rsidRPr="00BD1045">
        <w:rPr>
          <w:rFonts w:ascii="Palatino Linotype" w:eastAsia="Arial" w:hAnsi="Palatino Linotype"/>
          <w:bCs/>
          <w:snapToGrid w:val="0"/>
          <w:color w:val="000000"/>
          <w:sz w:val="20"/>
          <w:lang w:eastAsia="zh-CN" w:bidi="en-US"/>
        </w:rPr>
        <w:t>Lubuk</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Pakam</w:t>
      </w:r>
      <w:proofErr w:type="spellEnd"/>
      <w:r w:rsidRPr="00BD1045">
        <w:rPr>
          <w:rFonts w:ascii="Palatino Linotype" w:eastAsia="Arial" w:hAnsi="Palatino Linotype"/>
          <w:bCs/>
          <w:snapToGrid w:val="0"/>
          <w:color w:val="000000"/>
          <w:sz w:val="20"/>
          <w:lang w:eastAsia="zh-CN" w:bidi="en-US"/>
        </w:rPr>
        <w:t xml:space="preserve"> Jl. Arc Building, </w:t>
      </w:r>
      <w:proofErr w:type="spellStart"/>
      <w:r w:rsidRPr="00BD1045">
        <w:rPr>
          <w:rFonts w:ascii="Palatino Linotype" w:eastAsia="Arial" w:hAnsi="Palatino Linotype"/>
          <w:bCs/>
          <w:snapToGrid w:val="0"/>
          <w:color w:val="000000"/>
          <w:sz w:val="20"/>
          <w:lang w:eastAsia="zh-CN" w:bidi="en-US"/>
        </w:rPr>
        <w:t>Kec</w:t>
      </w:r>
      <w:proofErr w:type="spellEnd"/>
      <w:r w:rsidRPr="00BD1045">
        <w:rPr>
          <w:rFonts w:ascii="Palatino Linotype" w:eastAsia="Arial" w:hAnsi="Palatino Linotype"/>
          <w:bCs/>
          <w:snapToGrid w:val="0"/>
          <w:color w:val="000000"/>
          <w:sz w:val="20"/>
          <w:lang w:eastAsia="zh-CN" w:bidi="en-US"/>
        </w:rPr>
        <w:t>. Medan Sandpaper - Medan City - Prov. North Sumatra, with B accreditation with a vision, To Become a Humane and Independent Private Higher Education University with Islamic characteristics in Indonesia in 2045. And the mission is as follows:</w:t>
      </w:r>
    </w:p>
    <w:p w14:paraId="18D7CEC5" w14:textId="77777777" w:rsidR="00BD1045" w:rsidRPr="00BD1045" w:rsidRDefault="00BD1045" w:rsidP="00BD1045">
      <w:pPr>
        <w:pStyle w:val="root-block-node"/>
        <w:numPr>
          <w:ilvl w:val="0"/>
          <w:numId w:val="31"/>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Organizing quality education and teaching, independent, collaborative, based on local wisdom, and with Islamic characteristics, centered on students so as to be able to meet the demands of society.</w:t>
      </w:r>
    </w:p>
    <w:p w14:paraId="2A2413FD" w14:textId="77777777" w:rsidR="00BD1045" w:rsidRPr="00BD1045" w:rsidRDefault="00BD1045" w:rsidP="00BD1045">
      <w:pPr>
        <w:pStyle w:val="root-block-node"/>
        <w:numPr>
          <w:ilvl w:val="0"/>
          <w:numId w:val="31"/>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Carry out research in the context of developing science and technology, as well as cultural arts, and/or sports based on local wisdom and with Islamic characteristics to realize the benefit of the people.</w:t>
      </w:r>
    </w:p>
    <w:p w14:paraId="451FA222" w14:textId="77777777" w:rsidR="00BD1045" w:rsidRPr="00BD1045" w:rsidRDefault="00BD1045" w:rsidP="00BD1045">
      <w:pPr>
        <w:pStyle w:val="root-block-node"/>
        <w:numPr>
          <w:ilvl w:val="0"/>
          <w:numId w:val="31"/>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Organizing community service by upholding Islamic values and local wisdom to encourage and elevate community dignity.</w:t>
      </w:r>
    </w:p>
    <w:p w14:paraId="699BC84B" w14:textId="77777777" w:rsidR="00BD1045" w:rsidRPr="00BD1045" w:rsidRDefault="00BD1045" w:rsidP="00BD1045">
      <w:pPr>
        <w:pStyle w:val="root-block-node"/>
        <w:numPr>
          <w:ilvl w:val="0"/>
          <w:numId w:val="31"/>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Carry out mutually beneficial cooperation with various parties provided that they do not violate religious teachings, laws, norms and ethics.</w:t>
      </w:r>
    </w:p>
    <w:p w14:paraId="185FCC33" w14:textId="77777777" w:rsidR="00BD1045" w:rsidRPr="00BD1045" w:rsidRDefault="00BD1045" w:rsidP="00BD1045">
      <w:pPr>
        <w:pStyle w:val="root-block-node"/>
        <w:ind w:left="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Nusantara Muslim University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has four (4) objectives, namely:</w:t>
      </w:r>
    </w:p>
    <w:p w14:paraId="2E298A09" w14:textId="77777777" w:rsidR="00BD1045" w:rsidRPr="00BD1045" w:rsidRDefault="00BD1045" w:rsidP="00BD1045">
      <w:pPr>
        <w:pStyle w:val="root-block-node"/>
        <w:numPr>
          <w:ilvl w:val="0"/>
          <w:numId w:val="32"/>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Producing graduates who are Islamic, of high quality, pay attention to cultural nobility who have local wisdom insight and are able to work together in teamwork</w:t>
      </w:r>
    </w:p>
    <w:p w14:paraId="0AA13604" w14:textId="77777777" w:rsidR="00BD1045" w:rsidRPr="00BD1045" w:rsidRDefault="00BD1045" w:rsidP="00BD1045">
      <w:pPr>
        <w:pStyle w:val="root-block-node"/>
        <w:numPr>
          <w:ilvl w:val="0"/>
          <w:numId w:val="32"/>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Producing research and scientific publications with Islamic characteristics, quality, respecting local wisdom in the context of developing and disseminating science, technology, arts and culture, and/or sports to realize the benefit of the people</w:t>
      </w:r>
    </w:p>
    <w:p w14:paraId="65A1FA83" w14:textId="77777777" w:rsidR="00BD1045" w:rsidRPr="00BD1045" w:rsidRDefault="00BD1045" w:rsidP="00BD1045">
      <w:pPr>
        <w:pStyle w:val="root-block-node"/>
        <w:numPr>
          <w:ilvl w:val="0"/>
          <w:numId w:val="32"/>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Producing works of community service to improve the welfare and benefit of the people by upholding Islamic values and local wisdom.</w:t>
      </w:r>
    </w:p>
    <w:p w14:paraId="1214633C" w14:textId="77777777" w:rsidR="00BD1045" w:rsidRPr="00BD1045" w:rsidRDefault="00BD1045" w:rsidP="00BD1045">
      <w:pPr>
        <w:pStyle w:val="root-block-node"/>
        <w:numPr>
          <w:ilvl w:val="0"/>
          <w:numId w:val="32"/>
        </w:numPr>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Generate mutually beneficial cooperation with various parties provided that they do not violate religious teachings, laws, norms and ethics.</w:t>
      </w:r>
    </w:p>
    <w:p w14:paraId="04AA1F8A" w14:textId="77777777"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In addition, based on the results of research from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{"citationItems":[{"id":"ITEM-1","itemData":{"abstract":"Dosen sebagai pendidik profesional dituntut memiliki keterampilan, pengetahuan dan kemampuan yang dalam kajian MSDM disebut kompetensi. Dengan kompetensi yang tinggi diharapkan dapat menghasilkan kinerja sesuai dengan standar yang dipersyaratkan. Tujuan penelitian adalah untuk mengetahui bagaimana pengaruh kompetensi terhadap kinerja dosen dan jenis kompetensi yang paling mempengaruhinya. Hipotesis yang diajukan adalah kompetensi berpengaruh positif terhadap kinerja dosen. Populasi penelitian adalah dosen tetap UMN Al-Washliyah Medan. Jumlah sampel ditetapkan 47 orang (random sampling). Jenis penelitian yang dipilih adalah penelitian assosiaitif dengan pendekatan metode kuantitatif. Instrumen penelitian yang digunakan adalah kuesioner berdasarkan pengukuran skala Likert. Teknik analisis data yang digunakan adalah uji regresi linier berganda, uji t, uji F dan uji koefisien determinasi (uji R²). Data diolah dengan bantuan software SPSS. Hasil uji regresi menghasilkan persamaan Y = 1.126 + 0,179xKomp-Pedagogik + 0.195xKomp-Kepribadian + 0.488xKomp-Sosial + 0.106x KompProfesional,maka hipotesis alternatif (Ha) terbukti dan Ho ditolak. Hasil uji t, menjelaskan jenis kompetensi yang lebih dominan mempengaruhi kinerja dosen adalah “kompetensi sosial” yaitu sebesar 0.488satuan. Hasil uji F menjelaskan kompetensi pedagogik, kepribadian, sosial dan profesional secara simultan dapat mempengaruhi kinerja dosen sebesar 5.486satuan. Kompetensi dapat menjelaskan kinerja dosen sebesar 43.1% sisanya 56,9% dipengaruhi variabel lain di luar penelitian ini.","author":[{"dropping-particle":"","family":"Hutasuhut","given":"Julianto","non-dropping-particle":"","parse-names":false,"suffix":""}],"container-title":"Prosiding Seminar Nasional &amp; Expo II Hasil Penelitian dan Pengabdian Masyarakat 2019","id":"ITEM-1","issued":{"date-parts":[["2019"]]},"page":"1099-1108","publisher":"Universitas Muslim Nusantara Al Wasliyah Medan","publisher-place":"Medan","title":"ANALISIS PENGARUH KOMPETENSI TEHADAP KINERJA DOSEN (Studi Kasus Pada Universitas Muslim Nusantara Al-Washliyah Medan)","type":"paper-conference"},"uris":["http://www.mendeley.com/documents/?uuid=7dc4d804-c3be-4cc1-9543-23da6f00946b"]}],"mendeley":{"formattedCitation":"(Hutasuhut, 2019)","manualFormatting":"Hutasuhut (2019)","plainTextFormattedCitation":"(Hutasuhut, 2019)","previouslyFormattedCitation":"(Hutasuhut, 2019)"},"properties":{"noteIndex":0},"schema":"https://github.com/citation-style-language/schema/raw/master/csl-citation.json"}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proofErr w:type="spellStart"/>
      <w:r w:rsidRPr="00BD1045">
        <w:rPr>
          <w:rFonts w:ascii="Palatino Linotype" w:eastAsia="Arial" w:hAnsi="Palatino Linotype"/>
          <w:bCs/>
          <w:snapToGrid w:val="0"/>
          <w:color w:val="000000"/>
          <w:sz w:val="20"/>
          <w:lang w:eastAsia="zh-CN" w:bidi="en-US"/>
        </w:rPr>
        <w:t>Hutasuhut</w:t>
      </w:r>
      <w:proofErr w:type="spellEnd"/>
      <w:r w:rsidRPr="00BD1045">
        <w:rPr>
          <w:rFonts w:ascii="Palatino Linotype" w:eastAsia="Arial" w:hAnsi="Palatino Linotype"/>
          <w:bCs/>
          <w:snapToGrid w:val="0"/>
          <w:color w:val="000000"/>
          <w:sz w:val="20"/>
          <w:lang w:eastAsia="zh-CN" w:bidi="en-US"/>
        </w:rPr>
        <w:t xml:space="preserve"> (2019)</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 xml:space="preserve">, explaining that the results of the regression test explain that competency has a positive influence on lecturer performance so that the alternative hypothesis (Ha) is accepted and Ho is rejected. The results of the t test explain that social competence has a more dominant influence on lecturer performance when compared to pedagogic competence, personal competence and social competence. The results of the F test explain that pedagogic competence, personal competence, social competence and professional competence have a positive influence on the performance of lecturers at the Muslim Nusantara University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Based on the correlation test, the competency variable has a fairly close relationship with lecturer performance. And based on the coefficient of determination test, the competency variable is able to explain the lecturer performance variable by 43.1% while the remaining 56.9% is influenced by other variables outside of this study. And still with the results of the study explaining that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{"citationItems":[{"id":"ITEM-1","itemData":{"DOI":"10.30743/best.v2i2.1976","ISSN":"2654-4652","abstract":"Dosen mempunyai fungsi, peran, dan kedudukan yang sangat strategis dalam upaya mencerdaskan kehidupan bangsa. Dosen sebagai pendidik profesional tidak cukup hanya memiliki keterampilan, pengetahuan dan kemampuan. Namuh harus memiliki etika kerja yang Islami agar dapat memberikan hasil kerja (kinerja) yang lebih bernilai sesuai dengan standar yang dipersyaratkan. Tujuan penelitian adalah untuk mengetahui bagaimana pengaruh etika kerja Islami dan etika kerja Islami terhadap kinerja dosen. Dugaan awal yang diajukan adalah dan etika kerja Islami berpengaruh positif terhadap kinerja dosen. Objek penelitian adalah dosen tetap yang mengajar di Universitas Muslim Nusantara Al-Washliyah Medan. Jumlah sampel ditetapkan 47 orang. Teknik pengambilan sampel adalah random sampling. Jenis penelitian yang dipilih adalah penelitian assosiaitif dengan pendekatan metode kuantitatif. Instrumen penelitian yang digunakan adalah kuesioner dengan pengukuran berdasarkan skala Likert. Teknik analisa data yang digunakan adalah uji validitas dan reliabilitas, uji asumsi klasik, uji regresi linier berganda, uji t dan uji koefisien deterrminasi (uji R Square). Data diolah dengan bantuan komputer program SPSS versi 17.0 for windows. Hasil penelitian, uji regresi menghasilkan persamaan Y= 92.008+ 0,731xEtika Kerja Islami. Hasil uji t Etika kerja Islami berpengaruh positif terhadap kinerja dosen di Universitas Muslim Nusantara Al-Washliyah Medan. Etika kerja Islami dapat menjelaskan kinerja dosen sebesar 46.1% sisanya 53.9% dipengaruhi variabel ain di luar penelitian ini","author":[{"dropping-particle":"","family":"Hutasuhut","given":"Julianto","non-dropping-particle":"","parse-names":false,"suffix":""},{"dropping-particle":"","family":"Saragih","given":"Alkausar","non-dropping-particle":"","parse-names":false,"suffix":""}],"container-title":"Best Journal (Biology Education, Sains and Technology)","id":"ITEM-1","issue":"2","issued":{"date-parts":[["2019","9","10"]]},"page":"01-07","title":"Pengaruh Etika Kerja Islami Terhadap Kinerja Dosen (Studi Kasus Pada Universitas Muslim Nusantara Al-Wasliyah Medan)","type":"article-journal","volume":"2"},"uris":["http://www.mendeley.com/documents/?uuid=bd29e7fc-d37a-49bb-9011-bac04963d256"]}],"mendeley":{"formattedCitation":"(Hutasuhut &amp; Saragih, 2019)","manualFormatting":"Hutasuhut &amp; Saragih (2019)","plainTextFormattedCitation":"(Hutasuhut &amp; Saragih, 2019)","previouslyFormattedCitation":"(Hutasuhut &amp; Saragih, 2019)"},"properties":{"noteIndex":0},"schema":"https://github.com/citation-style-language/schema/raw/master/csl-citation.json"}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proofErr w:type="spellStart"/>
      <w:r w:rsidRPr="00BD1045">
        <w:rPr>
          <w:rFonts w:ascii="Palatino Linotype" w:eastAsia="Arial" w:hAnsi="Palatino Linotype"/>
          <w:bCs/>
          <w:snapToGrid w:val="0"/>
          <w:color w:val="000000"/>
          <w:sz w:val="20"/>
          <w:lang w:eastAsia="zh-CN" w:bidi="en-US"/>
        </w:rPr>
        <w:t>Hutasuhut</w:t>
      </w:r>
      <w:proofErr w:type="spellEnd"/>
      <w:r w:rsidRPr="00BD1045">
        <w:rPr>
          <w:rFonts w:ascii="Palatino Linotype" w:eastAsia="Arial" w:hAnsi="Palatino Linotype"/>
          <w:bCs/>
          <w:snapToGrid w:val="0"/>
          <w:color w:val="000000"/>
          <w:sz w:val="20"/>
          <w:lang w:eastAsia="zh-CN" w:bidi="en-US"/>
        </w:rPr>
        <w:t xml:space="preserve"> &amp; </w:t>
      </w:r>
      <w:proofErr w:type="spellStart"/>
      <w:r w:rsidRPr="00BD1045">
        <w:rPr>
          <w:rFonts w:ascii="Palatino Linotype" w:eastAsia="Arial" w:hAnsi="Palatino Linotype"/>
          <w:bCs/>
          <w:snapToGrid w:val="0"/>
          <w:color w:val="000000"/>
          <w:sz w:val="20"/>
          <w:lang w:eastAsia="zh-CN" w:bidi="en-US"/>
        </w:rPr>
        <w:t>Saragih</w:t>
      </w:r>
      <w:proofErr w:type="spellEnd"/>
      <w:r w:rsidRPr="00BD1045">
        <w:rPr>
          <w:rFonts w:ascii="Palatino Linotype" w:eastAsia="Arial" w:hAnsi="Palatino Linotype"/>
          <w:bCs/>
          <w:snapToGrid w:val="0"/>
          <w:color w:val="000000"/>
          <w:sz w:val="20"/>
          <w:lang w:eastAsia="zh-CN" w:bidi="en-US"/>
        </w:rPr>
        <w:t xml:space="preserve"> (2019)</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 results (t test), Islamic work ethics have a positive influence on lecturer performance at the Muslim Nusantara University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The results of the coefficient of determination test (R test) explain that Islamic work ethics have a close relationship with the performance of lecturers at the Nusantara Muslim University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However, it is suspected that there is still the influence of other variables outside of this study which can explain it.</w:t>
      </w:r>
    </w:p>
    <w:p w14:paraId="2AA5A026" w14:textId="77777777"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Meanwhile, the results of research from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{"citationItems":[{"id":"ITEM-1","itemData":{"ISSN":"2502-9630","abstract":"Perguruan Tinggi sebagai suatu lembaga yang menyelenggarakan kegiatan belajar mengajar&amp;nbsp; merupakan bagian dari pendidikan. Untuk membantu terselenggaranya suatu Perguruan Tinggi harus didukung oleh Sumber daya manusia yang merupakan sebagai sumber penggerak. Kinerja sebagai suatu kemampuan yang harus diprioritaskan di dalam lembaga menjadi hal yang sangat penting. Dalam meningkatkan kualitas pelayanan pendidikan maka kinerja pegawai menjadi salah satu kunci utama untuk menjawab permasalahan tersebut. Selain itu budaya organisasi dan disiplin kerja sangat berpengaruh dalam penilaian kinerja pegawai. Penelitian ini bertujuan untuk mengetahui pengaruh dan signifikansi dari kinerja pegawai pada Universitas Muslim Nusantara Al Washliyah. Target khusus yang ingin dicapai dalam penelitian ini adalah publikasi ilmiah pada jurnal Nasional ber ISSN. Populasi dalam penelitian ini adalah sebanyak 197 orang dan yang dijadikan Sampel sebanyak 30 orang, data diolah menggunakan program SPSS 22. Hasil Penelitian menunjukkan bahwa budaya organisasi dan disiplin kerja secara simultan berpengaruh terhadap kinerja pegawai dan secara parsial budaya organisasi dan disiplin kerja berpengaruh positif dan signifikan terhadap kinerja pegawai.","author":[{"dropping-particle":"","family":"Hasibuan","given":"Edward Arif Hakim","non-dropping-particle":"","parse-names":false,"suffix":""},{"dropping-particle":"","family":"Wulandari","given":"Sari","non-dropping-particle":"","parse-names":false,"suffix":""}],"container-title":"Jurnal Penelitian Pendidikan Sosial Humaniora","id":"ITEM-1","issue":"1","issued":{"date-parts":[["2017"]]},"page":"173-178","title":"Pengaruh Budaya Organisasi Dan Disiplin Kerja Terhadap Kinerja Pegawai Pada Universitas Muslim Nusantara Al-Washliyah","type":"article-journal","volume":"2"},"uris":["http://www.mendeley.com/documents/?uuid=0f6e905d-3348-43b5-8a7b-a1bb677dcf90"]}],"mendeley":{"formattedCitation":"(E. A. H. Hasibuan &amp; Wulandari, 2017)","manualFormatting":"E. A. H. Hasibuan &amp; Wulandari (2017)","plainTextFormattedCitation":"(E. A. H. Hasibuan &amp; Wulandari, 2017)","previouslyFormattedCitation":"(E. A. H. Hasibuan &amp; Wulandari, 2017)"},"properties":{"noteIndex":0},"schema":"https://github.com/citation-style-language/schema/raw/master/csl-citation.json"}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 xml:space="preserve">E. A. H. </w:t>
      </w:r>
      <w:proofErr w:type="spellStart"/>
      <w:r w:rsidRPr="00BD1045">
        <w:rPr>
          <w:rFonts w:ascii="Palatino Linotype" w:eastAsia="Arial" w:hAnsi="Palatino Linotype"/>
          <w:bCs/>
          <w:snapToGrid w:val="0"/>
          <w:color w:val="000000"/>
          <w:sz w:val="20"/>
          <w:lang w:eastAsia="zh-CN" w:bidi="en-US"/>
        </w:rPr>
        <w:t>Hasibuan</w:t>
      </w:r>
      <w:proofErr w:type="spellEnd"/>
      <w:r w:rsidRPr="00BD1045">
        <w:rPr>
          <w:rFonts w:ascii="Palatino Linotype" w:eastAsia="Arial" w:hAnsi="Palatino Linotype"/>
          <w:bCs/>
          <w:snapToGrid w:val="0"/>
          <w:color w:val="000000"/>
          <w:sz w:val="20"/>
          <w:lang w:eastAsia="zh-CN" w:bidi="en-US"/>
        </w:rPr>
        <w:t xml:space="preserve"> &amp; </w:t>
      </w:r>
      <w:proofErr w:type="spellStart"/>
      <w:r w:rsidRPr="00BD1045">
        <w:rPr>
          <w:rFonts w:ascii="Palatino Linotype" w:eastAsia="Arial" w:hAnsi="Palatino Linotype"/>
          <w:bCs/>
          <w:snapToGrid w:val="0"/>
          <w:color w:val="000000"/>
          <w:sz w:val="20"/>
          <w:lang w:eastAsia="zh-CN" w:bidi="en-US"/>
        </w:rPr>
        <w:t>Wulandari</w:t>
      </w:r>
      <w:proofErr w:type="spellEnd"/>
      <w:r w:rsidRPr="00BD1045">
        <w:rPr>
          <w:rFonts w:ascii="Palatino Linotype" w:eastAsia="Arial" w:hAnsi="Palatino Linotype"/>
          <w:bCs/>
          <w:snapToGrid w:val="0"/>
          <w:color w:val="000000"/>
          <w:sz w:val="20"/>
          <w:lang w:eastAsia="zh-CN" w:bidi="en-US"/>
        </w:rPr>
        <w:t xml:space="preserve"> (2017)</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 xml:space="preserve"> based on the results of testing classic assumptions and hypotheses, the following conclusions are drawn: 1) Simultaneously organizational culture and work discipline affect employee performance at the Muslim Nusantara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University; 2) Partially, organizational culture has a positive and significant effect on employee performance and work discipline partially has a positive and significant effect on employee performance.</w:t>
      </w:r>
    </w:p>
    <w:p w14:paraId="71E8E159" w14:textId="77777777"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The quality of a tertiary institution can be seen from the accreditation value of the tertiary institution. Nusantara Muslim University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consistently makes improvements and fulfills the standards set by the Ministry of Research Technology and Higher Education (</w:t>
      </w:r>
      <w:proofErr w:type="spellStart"/>
      <w:r w:rsidRPr="00BD1045">
        <w:rPr>
          <w:rFonts w:ascii="Palatino Linotype" w:eastAsia="Arial" w:hAnsi="Palatino Linotype"/>
          <w:bCs/>
          <w:snapToGrid w:val="0"/>
          <w:color w:val="000000"/>
          <w:sz w:val="20"/>
          <w:lang w:eastAsia="zh-CN" w:bidi="en-US"/>
        </w:rPr>
        <w:t>Ristek</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Dikti</w:t>
      </w:r>
      <w:proofErr w:type="spellEnd"/>
      <w:r w:rsidRPr="00BD1045">
        <w:rPr>
          <w:rFonts w:ascii="Palatino Linotype" w:eastAsia="Arial" w:hAnsi="Palatino Linotype"/>
          <w:bCs/>
          <w:snapToGrid w:val="0"/>
          <w:color w:val="000000"/>
          <w:sz w:val="20"/>
          <w:lang w:eastAsia="zh-CN" w:bidi="en-US"/>
        </w:rPr>
        <w:t>). Currently, the campus with its green characteristics has succeeded in obtaining B accreditation. On the other hand, the quality of higher education institutions can also be seen from the rankings of these universities at the international, national and regional levels. At the national level, UMN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is ranked 159 out of 500 universities assessed in 2018.</w:t>
      </w:r>
    </w:p>
    <w:p w14:paraId="0931FE12" w14:textId="77777777"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Then currently UMN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is not included in the top 10 best private universities in North Sumatra. In 2019 UMN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was in 11th place in the university rankings in the province of North Sumatra. On the one hand, UMN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has a fairly qualified accreditation score, namely B accreditation, but on the other hand this university has not been able to compete in the top 100 national universities and the top 10 universities at the regional level (North Sumatra Province).</w:t>
      </w:r>
    </w:p>
    <w:p w14:paraId="4A945F2B" w14:textId="77777777"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Planning to improve the quality of education at the Muslim Nusantara University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is carried out through several steps, namely: (a) Identifying problems/activities/work programs to be implemented; (b) Formulate goals to be achieved; (c) Assess the benefits to be obtained; and (d) Setting Targets/objectives. Furthermore, the forms of planning that are carried out are: (a) Setting the source of funds; (b) Arrangement of resources/personnel and their guidance; (c) Curriculum development.</w:t>
      </w:r>
    </w:p>
    <w:p w14:paraId="69E82DD9" w14:textId="77777777"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The organization of quality improvement at the Muslim Nusantara University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is carried out through several processes, namely: (a) Division of Tasks (Job </w:t>
      </w:r>
      <w:proofErr w:type="spellStart"/>
      <w:r w:rsidRPr="00BD1045">
        <w:rPr>
          <w:rFonts w:ascii="Palatino Linotype" w:eastAsia="Arial" w:hAnsi="Palatino Linotype"/>
          <w:bCs/>
          <w:snapToGrid w:val="0"/>
          <w:color w:val="000000"/>
          <w:sz w:val="20"/>
          <w:lang w:eastAsia="zh-CN" w:bidi="en-US"/>
        </w:rPr>
        <w:t>Discribtion</w:t>
      </w:r>
      <w:proofErr w:type="spellEnd"/>
      <w:r w:rsidRPr="00BD1045">
        <w:rPr>
          <w:rFonts w:ascii="Palatino Linotype" w:eastAsia="Arial" w:hAnsi="Palatino Linotype"/>
          <w:bCs/>
          <w:snapToGrid w:val="0"/>
          <w:color w:val="000000"/>
          <w:sz w:val="20"/>
          <w:lang w:eastAsia="zh-CN" w:bidi="en-US"/>
        </w:rPr>
        <w:t>); (b) Workload Development; and (c) Development of work mechanisms. This is done for Unity in harmonious integration in carrying out their respective duties and authorities.</w:t>
      </w:r>
      <w:r>
        <w:rPr>
          <w:rFonts w:ascii="Palatino Linotype" w:eastAsia="Arial" w:hAnsi="Palatino Linotype"/>
          <w:bCs/>
          <w:snapToGrid w:val="0"/>
          <w:color w:val="000000"/>
          <w:sz w:val="20"/>
          <w:lang w:eastAsia="zh-CN" w:bidi="en-US"/>
        </w:rPr>
        <w:t xml:space="preserve"> </w:t>
      </w:r>
      <w:r w:rsidRPr="00BD1045">
        <w:rPr>
          <w:rFonts w:ascii="Palatino Linotype" w:eastAsia="Arial" w:hAnsi="Palatino Linotype"/>
          <w:bCs/>
          <w:snapToGrid w:val="0"/>
          <w:color w:val="000000"/>
          <w:sz w:val="20"/>
          <w:lang w:eastAsia="zh-CN" w:bidi="en-US"/>
        </w:rPr>
        <w:t>The implementation of improving the quality of the Muslim University is carried out through several stages, namely: (a) Job Distribution; (b) Workload Development; and (c) Development of work mechanisms. This is done for Unity in harmonious integration in carrying out their respective duties and authorities.</w:t>
      </w:r>
    </w:p>
    <w:p w14:paraId="151CC94C" w14:textId="77777777"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Supervision of quality improvement at the Muslim Nusantara University Al-</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Medan is carried out in a number of activities, including: (a) coaching and curriculum development; (b) improving the process of education and learning; (c) improvement and development of the academic community; (d) maintenance and maintenance of morale/morale; (e) evaluation of work results and work programs implemented; and (f) to evaluate and make recommendations on the findings of the evaluation of work results and work programs implemented.</w:t>
      </w:r>
    </w:p>
    <w:p w14:paraId="3714E1BB" w14:textId="5E94FF8E" w:rsidR="00BD1045" w:rsidRDefault="00BD1045" w:rsidP="00BD1045">
      <w:pPr>
        <w:pStyle w:val="root-block-node"/>
        <w:ind w:firstLine="72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Nusantara Muslim University issued guidelines on preventing Covid-19 by making 9 policy steps namely extending distance lectures until the even semester of the 2019/2020 academic year, providing special treatment for students who experience difficulties in online remote lectures such as network disruptions (among other things can be replaced by learning through modules, assignments to make scientific work and others), guidance activities and implementation of proposal seminars are carried out through online facilities and may meet face to face with due observance of Covid-19 handling standards and the maximum number of attendees is five people namely two supervisors, one examiner as well as students attending green table sessions and the head of the study program.</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D1045" w14:paraId="21BCA52E" w14:textId="77777777" w:rsidTr="00BD1045">
        <w:tc>
          <w:tcPr>
            <w:tcW w:w="4621" w:type="dxa"/>
          </w:tcPr>
          <w:p w14:paraId="1F7A0A01" w14:textId="7EE05487" w:rsidR="00BD1045" w:rsidRDefault="00BD1045" w:rsidP="00BD1045">
            <w:pPr>
              <w:pStyle w:val="root-block-node"/>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drawing>
                <wp:inline distT="0" distB="0" distL="0" distR="0" wp14:anchorId="7F17CA68" wp14:editId="4EBCF24A">
                  <wp:extent cx="3091109" cy="412577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ARAN-UMN-AL-WASHLIYAH_001.png"/>
                          <pic:cNvPicPr/>
                        </pic:nvPicPr>
                        <pic:blipFill>
                          <a:blip r:embed="rId15">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094355" cy="4130106"/>
                          </a:xfrm>
                          <a:prstGeom prst="rect">
                            <a:avLst/>
                          </a:prstGeom>
                        </pic:spPr>
                      </pic:pic>
                    </a:graphicData>
                  </a:graphic>
                </wp:inline>
              </w:drawing>
            </w:r>
          </w:p>
        </w:tc>
        <w:tc>
          <w:tcPr>
            <w:tcW w:w="4621" w:type="dxa"/>
          </w:tcPr>
          <w:p w14:paraId="27DE99BD" w14:textId="6925616C" w:rsidR="00BD1045" w:rsidRDefault="00BD1045" w:rsidP="00BD1045">
            <w:pPr>
              <w:pStyle w:val="root-block-node"/>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drawing>
                <wp:inline distT="0" distB="0" distL="0" distR="0" wp14:anchorId="5A1752A9" wp14:editId="20E1192E">
                  <wp:extent cx="3090214" cy="41255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ARAN-UMN-AL-WASHLIYAH_002.png"/>
                          <pic:cNvPicPr/>
                        </pic:nvPicPr>
                        <pic:blipFill>
                          <a:blip r:embed="rId17">
                            <a:extLst>
                              <a:ext uri="{BEBA8EAE-BF5A-486C-A8C5-ECC9F3942E4B}">
                                <a14:imgProps xmlns:a14="http://schemas.microsoft.com/office/drawing/2010/main">
                                  <a14:imgLayer r:embed="rId1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096182" cy="4133562"/>
                          </a:xfrm>
                          <a:prstGeom prst="rect">
                            <a:avLst/>
                          </a:prstGeom>
                        </pic:spPr>
                      </pic:pic>
                    </a:graphicData>
                  </a:graphic>
                </wp:inline>
              </w:drawing>
            </w:r>
          </w:p>
        </w:tc>
      </w:tr>
    </w:tbl>
    <w:p w14:paraId="0EA04A2B" w14:textId="77777777" w:rsidR="00BD1045" w:rsidRPr="00BD1045" w:rsidRDefault="00BD1045" w:rsidP="00BD1045">
      <w:pPr>
        <w:pStyle w:val="root-block-node"/>
        <w:ind w:left="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
          <w:snapToGrid w:val="0"/>
          <w:color w:val="000000"/>
          <w:sz w:val="20"/>
          <w:lang w:eastAsia="zh-CN" w:bidi="en-US"/>
        </w:rPr>
        <w:t>Figure 1.</w:t>
      </w:r>
      <w:r w:rsidRPr="00BD1045">
        <w:rPr>
          <w:rFonts w:ascii="Palatino Linotype" w:eastAsia="Arial" w:hAnsi="Palatino Linotype"/>
          <w:bCs/>
          <w:snapToGrid w:val="0"/>
          <w:color w:val="000000"/>
          <w:sz w:val="20"/>
          <w:lang w:eastAsia="zh-CN" w:bidi="en-US"/>
        </w:rPr>
        <w:t xml:space="preserve"> Chancellor's Circular Regarding Prevention of the Spread of COVID-19 at UMN Al </w:t>
      </w:r>
      <w:proofErr w:type="spellStart"/>
      <w:r w:rsidRPr="00BD1045">
        <w:rPr>
          <w:rFonts w:ascii="Palatino Linotype" w:eastAsia="Arial" w:hAnsi="Palatino Linotype"/>
          <w:bCs/>
          <w:snapToGrid w:val="0"/>
          <w:color w:val="000000"/>
          <w:sz w:val="20"/>
          <w:lang w:eastAsia="zh-CN" w:bidi="en-US"/>
        </w:rPr>
        <w:t>Washliyah</w:t>
      </w:r>
      <w:proofErr w:type="spellEnd"/>
    </w:p>
    <w:p w14:paraId="6972173A" w14:textId="77777777" w:rsid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After the government established a new normal adaptation in the campus environment, the Muslim Nusantara University (UMN)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changed its learning strategy and student activities. UMN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Chancellor Dr KRT H </w:t>
      </w:r>
      <w:proofErr w:type="spellStart"/>
      <w:r w:rsidRPr="00BD1045">
        <w:rPr>
          <w:rFonts w:ascii="Palatino Linotype" w:eastAsia="Arial" w:hAnsi="Palatino Linotype"/>
          <w:bCs/>
          <w:snapToGrid w:val="0"/>
          <w:color w:val="000000"/>
          <w:sz w:val="20"/>
          <w:lang w:eastAsia="zh-CN" w:bidi="en-US"/>
        </w:rPr>
        <w:t>Hardi</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Mulyono</w:t>
      </w:r>
      <w:proofErr w:type="spellEnd"/>
      <w:r w:rsidRPr="00BD1045">
        <w:rPr>
          <w:rFonts w:ascii="Palatino Linotype" w:eastAsia="Arial" w:hAnsi="Palatino Linotype"/>
          <w:bCs/>
          <w:snapToGrid w:val="0"/>
          <w:color w:val="000000"/>
          <w:sz w:val="20"/>
          <w:lang w:eastAsia="zh-CN" w:bidi="en-US"/>
        </w:rPr>
        <w:t xml:space="preserve"> on Friday, July 3 2020, asked for input from two Professors, namely Prof Dr Sri </w:t>
      </w:r>
      <w:proofErr w:type="spellStart"/>
      <w:r w:rsidRPr="00BD1045">
        <w:rPr>
          <w:rFonts w:ascii="Palatino Linotype" w:eastAsia="Arial" w:hAnsi="Palatino Linotype"/>
          <w:bCs/>
          <w:snapToGrid w:val="0"/>
          <w:color w:val="000000"/>
          <w:sz w:val="20"/>
          <w:lang w:eastAsia="zh-CN" w:bidi="en-US"/>
        </w:rPr>
        <w:t>Minda</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Murni</w:t>
      </w:r>
      <w:proofErr w:type="spellEnd"/>
      <w:r w:rsidRPr="00BD1045">
        <w:rPr>
          <w:rFonts w:ascii="Palatino Linotype" w:eastAsia="Arial" w:hAnsi="Palatino Linotype"/>
          <w:bCs/>
          <w:snapToGrid w:val="0"/>
          <w:color w:val="000000"/>
          <w:sz w:val="20"/>
          <w:lang w:eastAsia="zh-CN" w:bidi="en-US"/>
        </w:rPr>
        <w:t xml:space="preserve"> and Prof Dr Dian Armanto who are also Chair of LLDIKTI Region I North Sumatra, to get input on the implementation strategy teaching and learning process and student activities during the new normal period of the Covid-19 pandemic.</w:t>
      </w:r>
    </w:p>
    <w:p w14:paraId="782E537C" w14:textId="77777777" w:rsid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The Chancellor said the input from the two Professors was very important in connection with the start of the new school year. "What we are carrying out is part of the preparation for online learning which is carried out reciprocally between lecturers and students, there is no need for any debriefing, the main thing is that we prepare instruments for these supports," said </w:t>
      </w:r>
      <w:proofErr w:type="spellStart"/>
      <w:r w:rsidRPr="00BD1045">
        <w:rPr>
          <w:rFonts w:ascii="Palatino Linotype" w:eastAsia="Arial" w:hAnsi="Palatino Linotype"/>
          <w:bCs/>
          <w:snapToGrid w:val="0"/>
          <w:color w:val="000000"/>
          <w:sz w:val="20"/>
          <w:lang w:eastAsia="zh-CN" w:bidi="en-US"/>
        </w:rPr>
        <w:t>Hardi</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Mulyono</w:t>
      </w:r>
      <w:proofErr w:type="spellEnd"/>
      <w:r w:rsidRPr="00BD1045">
        <w:rPr>
          <w:rFonts w:ascii="Palatino Linotype" w:eastAsia="Arial" w:hAnsi="Palatino Linotype"/>
          <w:bCs/>
          <w:snapToGrid w:val="0"/>
          <w:color w:val="000000"/>
          <w:sz w:val="20"/>
          <w:lang w:eastAsia="zh-CN" w:bidi="en-US"/>
        </w:rPr>
        <w:t>.</w:t>
      </w:r>
      <w:r>
        <w:rPr>
          <w:rFonts w:ascii="Palatino Linotype" w:eastAsia="Arial" w:hAnsi="Palatino Linotype"/>
          <w:bCs/>
          <w:snapToGrid w:val="0"/>
          <w:color w:val="000000"/>
          <w:sz w:val="20"/>
          <w:lang w:eastAsia="zh-CN" w:bidi="en-US"/>
        </w:rPr>
        <w:t xml:space="preserve"> </w:t>
      </w:r>
      <w:r w:rsidRPr="00BD1045">
        <w:rPr>
          <w:rFonts w:ascii="Palatino Linotype" w:eastAsia="Arial" w:hAnsi="Palatino Linotype"/>
          <w:bCs/>
          <w:snapToGrid w:val="0"/>
          <w:color w:val="000000"/>
          <w:sz w:val="20"/>
          <w:lang w:eastAsia="zh-CN" w:bidi="en-US"/>
        </w:rPr>
        <w:t>Regarding student activities, the Chancellor emphasized that these activities must avoid physical gatherings or mass gatherings.</w:t>
      </w:r>
    </w:p>
    <w:p w14:paraId="2DA952BA" w14:textId="77777777" w:rsid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Deputy Chancellor (WR) III, Anwar Sadat added, said student activities such as competitions in making learning media from students such as dance and singing arts would be carried out in their respective homes. The lecturer will act as a team of supervisors and assessors. "We will also hold a Quran </w:t>
      </w:r>
      <w:proofErr w:type="spellStart"/>
      <w:r w:rsidRPr="00BD1045">
        <w:rPr>
          <w:rFonts w:ascii="Palatino Linotype" w:eastAsia="Arial" w:hAnsi="Palatino Linotype"/>
          <w:bCs/>
          <w:snapToGrid w:val="0"/>
          <w:color w:val="000000"/>
          <w:sz w:val="20"/>
          <w:lang w:eastAsia="zh-CN" w:bidi="en-US"/>
        </w:rPr>
        <w:t>Tilawatil</w:t>
      </w:r>
      <w:proofErr w:type="spellEnd"/>
      <w:r w:rsidRPr="00BD1045">
        <w:rPr>
          <w:rFonts w:ascii="Palatino Linotype" w:eastAsia="Arial" w:hAnsi="Palatino Linotype"/>
          <w:bCs/>
          <w:snapToGrid w:val="0"/>
          <w:color w:val="000000"/>
          <w:sz w:val="20"/>
          <w:lang w:eastAsia="zh-CN" w:bidi="en-US"/>
        </w:rPr>
        <w:t xml:space="preserve"> Quran (MTQ) competition without having to meet physically," said Anwar Sadat. WR 3 said learning during the new normal period of the Covid-19 pandemic emphasized that every lecturer must be creative and innovative. "The point is not to leave the lecturer behind the information compared to students," he explained.</w:t>
      </w:r>
    </w:p>
    <w:p w14:paraId="1A217996" w14:textId="77777777" w:rsid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For teaching materials, said Anwar Sadat, every lecturer may no longer use old materials, with more and more open information in cyberspace, a lecturer must be creative and innovative in providing learning. Quoting Prof Dian Armanto's directives regarding independent learning, Anwar Sadat emphasized that if they are ready or not, universities must prepare it. He explained that the meaning of independent learning is an opportunity given to students to take 3 semester learning materials that are carried out outside the campus. For example, UMN students in the English Language Study Program may take 3 semesters of management courses at other universities with the same accreditation. Likewise, engineering students from other universities may take management courses for 3 semesters at UMN.</w:t>
      </w:r>
    </w:p>
    <w:p w14:paraId="3EF03FF5" w14:textId="77777777" w:rsid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The performance assessment of lecturers at Al </w:t>
      </w:r>
      <w:proofErr w:type="spellStart"/>
      <w:r w:rsidRPr="00BD1045">
        <w:rPr>
          <w:rFonts w:ascii="Palatino Linotype" w:eastAsia="Arial" w:hAnsi="Palatino Linotype"/>
          <w:bCs/>
          <w:snapToGrid w:val="0"/>
          <w:color w:val="000000"/>
          <w:sz w:val="20"/>
          <w:lang w:eastAsia="zh-CN" w:bidi="en-US"/>
        </w:rPr>
        <w:t>Washliyah</w:t>
      </w:r>
      <w:proofErr w:type="spellEnd"/>
      <w:r w:rsidRPr="00BD1045">
        <w:rPr>
          <w:rFonts w:ascii="Palatino Linotype" w:eastAsia="Arial" w:hAnsi="Palatino Linotype"/>
          <w:bCs/>
          <w:snapToGrid w:val="0"/>
          <w:color w:val="000000"/>
          <w:sz w:val="20"/>
          <w:lang w:eastAsia="zh-CN" w:bidi="en-US"/>
        </w:rPr>
        <w:t xml:space="preserve"> Nusantara Muslim University for the implementation of lectures is based on the success of carrying out lectures according to the schedule set by the study program and the minimum number of courses taught remains the same as before the Covid-19 pandemic. The results of the study show that during the Covid-19 pandemic the number of lecturer courses remained the same as before the Covid-19 pandemic, and lecturers were able to carry out lectures according to their schedule. Lectures by lecturers are carried out with WFH even though there are obstacles in its implementation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{"citationItems":[{"id":"ITEM-1","itemData":{"DOI":"10.29103/ijevs.v3i4.3926","ISSN":"2684-6950","abstract":"The Covid-19 pandemic has an impact on all aspects of life including education, hence, the government issued a study from home policy. The Ministry of Education and Culture issued a Circular Letter Number 4 of 2020 concerning the Implementation of the Education Policy for the Emergency Period of the Spread of Covid-19 conveyed that the learning process takes place remotely or learn from home. This policy was issued as an effort to reduce the spread of the virus. This is a challenge and opportunity for the world of education nowadays. Distance learning is carried out online by utilizing technology, information, and communication. The implementation of distance history learning by utilizing technology is very helpful for school on teaching and learning process, but in its progress encountered various obstacles. Facilities and infrastructure that are not adequate, the lack of readiness of teachers and students, as well as the unstable condition of the internet network is a challenge that is often encountered. Therefore, this article seeks to provide an overview of the implementation of distance learning far done during the Covid-19 pandemic. The research was conducted using a descriptive approach qualitative. The object of research was carried out on the history learning process carried out at SMA Negeri 15 Pandeglang which is located at Jalan Raya Carita KM. 05 Labuan, Banjarmasin, Carita, Pandeglang, Banten. Data obtained through primary and secondary sources and researchers as the main instrument. Technique Data collection was done by interview, observation, and document analysis. Researchers use techniques triangulation of sources and methods and analyzed with an interactive model as a data analysis technique. Data obtained through interviews, observation, and document analysis.","author":[{"dropping-particle":"","family":"Nurjanah","given":"Wulan","non-dropping-particle":"","parse-names":false,"suffix":""},{"dropping-particle":"","family":"Musadad","given":"Akhmad Arif","non-dropping-particle":"","parse-names":false,"suffix":""},{"dropping-particle":"","family":"Purwanta","given":"Hieronymus","non-dropping-particle":"","parse-names":false,"suffix":""}],"container-title":"International Journal for Educational and Vocational Studies","id":"ITEM-1","issue":"4","issued":{"date-parts":[["2021","8","30"]]},"page":"243","title":"Implementation of distance history learning during the Pandemic Covid-19","type":"article-journal","volume":"3"},"uris":["http://www.mendeley.com/documents/?uuid=96fc9c27-2f96-4fdd-a600-14d9fcc2aa50"]}],"mendeley":{"formattedCitation":"(Nurjanah, Musadad, &amp; Purwanta, 2021)","plainTextFormattedCitation":"(Nurjanah, Musadad, &amp; Purwanta, 2021)","previouslyFormattedCitation":"(Nurjanah, Musadad, &amp; Purwanta, 2021)"},"properties":{"noteIndex":0},"schema":"https://github.com/citation-style-language/schema/raw/master/csl-citation.json"}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w:t>
      </w:r>
      <w:proofErr w:type="spellStart"/>
      <w:r w:rsidRPr="00BD1045">
        <w:rPr>
          <w:rFonts w:ascii="Palatino Linotype" w:eastAsia="Arial" w:hAnsi="Palatino Linotype"/>
          <w:bCs/>
          <w:snapToGrid w:val="0"/>
          <w:color w:val="000000"/>
          <w:sz w:val="20"/>
          <w:lang w:eastAsia="zh-CN" w:bidi="en-US"/>
        </w:rPr>
        <w:t>Nurjanah</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Musadad</w:t>
      </w:r>
      <w:proofErr w:type="spellEnd"/>
      <w:r w:rsidRPr="00BD1045">
        <w:rPr>
          <w:rFonts w:ascii="Palatino Linotype" w:eastAsia="Arial" w:hAnsi="Palatino Linotype"/>
          <w:bCs/>
          <w:snapToGrid w:val="0"/>
          <w:color w:val="000000"/>
          <w:sz w:val="20"/>
          <w:lang w:eastAsia="zh-CN" w:bidi="en-US"/>
        </w:rPr>
        <w:t xml:space="preserve">, &amp; </w:t>
      </w:r>
      <w:proofErr w:type="spellStart"/>
      <w:r w:rsidRPr="00BD1045">
        <w:rPr>
          <w:rFonts w:ascii="Palatino Linotype" w:eastAsia="Arial" w:hAnsi="Palatino Linotype"/>
          <w:bCs/>
          <w:snapToGrid w:val="0"/>
          <w:color w:val="000000"/>
          <w:sz w:val="20"/>
          <w:lang w:eastAsia="zh-CN" w:bidi="en-US"/>
        </w:rPr>
        <w:t>Purwanta</w:t>
      </w:r>
      <w:proofErr w:type="spellEnd"/>
      <w:r w:rsidRPr="00BD1045">
        <w:rPr>
          <w:rFonts w:ascii="Palatino Linotype" w:eastAsia="Arial" w:hAnsi="Palatino Linotype"/>
          <w:bCs/>
          <w:snapToGrid w:val="0"/>
          <w:color w:val="000000"/>
          <w:sz w:val="20"/>
          <w:lang w:eastAsia="zh-CN" w:bidi="en-US"/>
        </w:rPr>
        <w:t>, 2021)</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w:t>
      </w:r>
    </w:p>
    <w:p w14:paraId="16F3D439" w14:textId="77777777" w:rsid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The main obstacles that arise during WFH are low computer capacity for online learning and poor internet connection because the lecturers provide internet at the lecturers' homes themselves so that the internet capacity of each lecturer varies. Besides that, other obstacles are the occurrence of power outages, the lack of examples of learning aids, and the limitations of lecturers in mastering online learning applications. Whereas the main obstacle for lecturers in implementing WFH lectures is technical constraints, such as internet signals and the devices used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{"citationItems":[{"id":"ITEM-1","itemData":{"DOI":"10.17977/um026v7i12022p009","ISSN":"25286536","abstract":"Mid-March 2020, Indonesia began to be hit by the COVID-19 pandemic, which forced the government to set up online learning. The purpose of this study was to find out how effectiveness online learning was applied by Mandarin language educators at the junior high school level at Methodist Charles Wesley. Analysis of the data used is data analysis Miles and Huberman. The results of this study are: (1)Educators and students have adequate facilities in online learning. (2)Online learning has flexibility in its implementation. However, online learning has its own challenges, namely: weak internet signal, high internet costs and lack of teacher supervision of students. Keywords: Online Learning, Effectiveness, COVID-19.","author":[{"dropping-particle":"","family":"Wardani","given":"Sri","non-dropping-particle":"","parse-names":false,"suffix":""},{"dropping-particle":"","family":"Haryani","given":"Sri","non-dropping-particle":"","parse-names":false,"suffix":""},{"dropping-particle":"","family":"Harmiasri","given":"Rosika","non-dropping-particle":"","parse-names":false,"suffix":""},{"dropping-particle":"","family":"Sari","given":"Nindy","non-dropping-particle":"","parse-names":false,"suffix":""}],"container-title":"J-PEK (Jurnal Pembelajaran Kimia)","id":"ITEM-1","issue":"1","issued":{"date-parts":[["2022","6","25"]]},"page":"9-21","title":"Implementation of Online Learning to Prepare the Youth Generation in the Disruptive Era","type":"article-journal","volume":"7"},"uris":["http://www.mendeley.com/documents/?uuid=43ab3daa-ea9e-461f-a738-f56df4346ae1"]}],"mendeley":{"formattedCitation":"(Wardani, Haryani, Harmiasri, &amp; Sari, 2022)","plainTextFormattedCitation":"(Wardani, Haryani, Harmiasri, &amp; Sari, 2022)","previouslyFormattedCitation":"(Wardani, Haryani, Harmiasri, &amp; Sari, 2022)"},"properties":{"noteIndex":0},"schema":"https://github.com/citation-style-language/schema/raw/master/csl-citation.json"}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w:t>
      </w:r>
      <w:proofErr w:type="spellStart"/>
      <w:r w:rsidRPr="00BD1045">
        <w:rPr>
          <w:rFonts w:ascii="Palatino Linotype" w:eastAsia="Arial" w:hAnsi="Palatino Linotype"/>
          <w:bCs/>
          <w:snapToGrid w:val="0"/>
          <w:color w:val="000000"/>
          <w:sz w:val="20"/>
          <w:lang w:eastAsia="zh-CN" w:bidi="en-US"/>
        </w:rPr>
        <w:t>Wardani</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Haryani</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Harmiasri</w:t>
      </w:r>
      <w:proofErr w:type="spellEnd"/>
      <w:r w:rsidRPr="00BD1045">
        <w:rPr>
          <w:rFonts w:ascii="Palatino Linotype" w:eastAsia="Arial" w:hAnsi="Palatino Linotype"/>
          <w:bCs/>
          <w:snapToGrid w:val="0"/>
          <w:color w:val="000000"/>
          <w:sz w:val="20"/>
          <w:lang w:eastAsia="zh-CN" w:bidi="en-US"/>
        </w:rPr>
        <w:t>, &amp; Sari, 2022)</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w:t>
      </w:r>
    </w:p>
    <w:p w14:paraId="6EE77208" w14:textId="77777777" w:rsidR="00BD1045" w:rsidRP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However, there is a positive side to implementing WFH Online lectures, namely that lecturers save on transportation costs, work time is efficient because they do not require time to go to or return to campus, lecturers can do household chores between academic work hours, increase lecturer creativity in developing learning media and mastery information technology for online learning, working safely from the dangers of Covid-19 infection and a more comfortable and relaxed work atmosphere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10.1109/ICVEE50212.2020.9243235","ISBN":"978-1-7281-7434-1","author":[{"dropping-particle":"","family":"Suprapto","given":"Yuyun","non-dropping-particle":"","parse-names":false,"suffix":""},{"dropping-particle":"","family":"Rifai","given":"Moch.","non-dropping-particle":"","parse-names":false,"suffix":""},{"dropping-particle":"","family":"Faizah","given":"Fiqqih","non-dropping-particle":"","parse-names":false,"suffix":""},{"dropping-particle":"","family":"Setiawan","given":"Ariyono","non-dropping-particle":"","parse-names":false,"suffix":""}],"container-title":"2020 Third International Conference on Vocational Education and Electrical Engineering (ICVEE)","id":"ITEM-1","issued":{"date-parts":[["2020","10","3"]]},"page":"1-4","publisher":"IEEE","title":"The Role of Information Technology Knowledge and Online Learning on Learning Environmental Changes in Vocational Education","type":"paper-conference"},"uris":["http://www.mendeley.com/documents/?uuid=3227125e-14bd-4414-b0cf-ea8b41ec325b"]}],"mendeley":{"formattedCitation":"(Suprapto, Rifai, Faizah, &amp; Setiawan, 2020)","plainTextFormattedCitation":"(Suprapto, Rifai, Faizah, &amp; Setiawan, 2020)","previouslyFormattedCitation":"(Suprapto, Rifai, Faizah, &amp; Setiawan, 2020)"},"properties":{"noteIndex":0},"schema":"https://github.com/citation-style-language/schema/raw/master/csl-citation.json"}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w:t>
      </w:r>
      <w:proofErr w:type="spellStart"/>
      <w:r w:rsidRPr="00BD1045">
        <w:rPr>
          <w:rFonts w:ascii="Palatino Linotype" w:eastAsia="Arial" w:hAnsi="Palatino Linotype"/>
          <w:bCs/>
          <w:snapToGrid w:val="0"/>
          <w:color w:val="000000"/>
          <w:sz w:val="20"/>
          <w:lang w:eastAsia="zh-CN" w:bidi="en-US"/>
        </w:rPr>
        <w:t>Suprapto</w:t>
      </w:r>
      <w:proofErr w:type="spellEnd"/>
      <w:r w:rsidRPr="00BD1045">
        <w:rPr>
          <w:rFonts w:ascii="Palatino Linotype" w:eastAsia="Arial" w:hAnsi="Palatino Linotype"/>
          <w:bCs/>
          <w:snapToGrid w:val="0"/>
          <w:color w:val="000000"/>
          <w:sz w:val="20"/>
          <w:lang w:eastAsia="zh-CN" w:bidi="en-US"/>
        </w:rPr>
        <w:t>, Rifai, Faizah, &amp; Setiawan, 2020)</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w:t>
      </w:r>
    </w:p>
    <w:p w14:paraId="400E9AA3" w14:textId="77777777" w:rsidR="00BD1045" w:rsidRPr="00BD1045" w:rsidRDefault="00BD1045" w:rsidP="00BD1045">
      <w:pPr>
        <w:pStyle w:val="root-block-node"/>
        <w:ind w:left="360" w:firstLine="360"/>
        <w:jc w:val="both"/>
        <w:rPr>
          <w:rFonts w:ascii="Palatino Linotype" w:eastAsia="Arial" w:hAnsi="Palatino Linotype"/>
          <w:bCs/>
          <w:snapToGrid w:val="0"/>
          <w:color w:val="000000"/>
          <w:sz w:val="20"/>
          <w:lang w:eastAsia="zh-CN" w:bidi="en-US"/>
        </w:rPr>
      </w:pPr>
      <w:r w:rsidRPr="00BD1045">
        <w:rPr>
          <w:rFonts w:ascii="Palatino Linotype" w:eastAsia="Arial" w:hAnsi="Palatino Linotype"/>
          <w:bCs/>
          <w:snapToGrid w:val="0"/>
          <w:color w:val="000000"/>
          <w:sz w:val="20"/>
          <w:lang w:eastAsia="zh-CN" w:bidi="en-US"/>
        </w:rPr>
        <w:t xml:space="preserve">Obstacles that arise during practicum depend on the practicum model. Offline practicum with health protocols (maintain distance between students) so that activities in the laboratory are constrained by space, while activities in the field are constrained by the availability of the number of tools because practicums are carried out individually by students (not in groups) so that the number of tools must be as large as the number of students participating in the practicum. Obstacles for online practicum or Offline-Online blending are limited supporting equipment and mastery of information technology to compile practicum material in virtual form with video. On the other hand, the implementation of online practicums is often constrained by an internet connection. The positive side during the Covid-19 pandemic in carrying out practicums was that lecturers were motivated to be creative in compiling practicum models, mastering information technology, while practicums were online so practicum events could be recorded and then used as student learning resources </w:t>
      </w:r>
      <w:r w:rsidRPr="00BD1045">
        <w:rPr>
          <w:rFonts w:ascii="Palatino Linotype" w:eastAsia="Arial" w:hAnsi="Palatino Linotype"/>
          <w:bCs/>
          <w:snapToGrid w:val="0"/>
          <w:color w:val="000000"/>
          <w:sz w:val="20"/>
          <w:lang w:eastAsia="zh-CN" w:bidi="en-US"/>
        </w:rPr>
        <w:fldChar w:fldCharType="begin" w:fldLock="1"/>
      </w:r>
      <w:r w:rsidRPr="00BD1045">
        <w:rPr>
          <w:rFonts w:ascii="Palatino Linotype" w:eastAsia="Arial" w:hAnsi="Palatino Linotype"/>
          <w:bCs/>
          <w:snapToGrid w:val="0"/>
          <w:color w:val="000000"/>
          <w:sz w:val="20"/>
          <w:lang w:eastAsia="zh-CN" w:bidi="en-US"/>
        </w:rPr>
        <w:instrText>ADDIN CSL_CITATION {"citationItems":[{"id":"ITEM-1","itemData":{"DOI":"10.1016/j.ece.2021.01.012","ISSN":"17497728","author":[{"dropping-particle":"","family":"Lapitan","given":"Lorico DS.","non-dropping-particle":"","parse-names":false,"suffix":""},{"dropping-particle":"","family":"Tiangco","given":"Cristina E.","non-dropping-particle":"","parse-names":false,"suffix":""},{"dropping-particle":"","family":"Sumalinog","given":"Divine Angela G.","non-dropping-particle":"","parse-names":false,"suffix":""},{"dropping-particle":"","family":"Sabarillo","given":"Noel S.","non-dropping-particle":"","parse-names":false,"suffix":""},{"dropping-particle":"","family":"Diaz","given":"Joey Mark","non-dropping-particle":"","parse-names":false,"suffix":""}],"container-title":"Education for Chemical Engineers","id":"ITEM-1","issued":{"date-parts":[["2021","4"]]},"page":"116-131","title":"An effective blended online teaching and learning strategy during the COVID-19 pandemic","type":"article-journal","volume":"35"},"uris":["http://www.mendeley.com/documents/?uuid=f4272e53-b034-4ac6-8c34-7254fd688ebe"]}],"mendeley":{"formattedCitation":"(Lapitan, Tiangco, Sumalinog, Sabarillo, &amp; Diaz, 2021)","plainTextFormattedCitation":"(Lapitan, Tiangco, Sumalinog, Sabarillo, &amp; Diaz, 2021)"},"properties":{"noteIndex":0},"schema":"https://github.com/citation-style-language/schema/raw/master/csl-citation.json"}</w:instrText>
      </w:r>
      <w:r w:rsidRPr="00BD1045">
        <w:rPr>
          <w:rFonts w:ascii="Palatino Linotype" w:eastAsia="Arial" w:hAnsi="Palatino Linotype"/>
          <w:bCs/>
          <w:snapToGrid w:val="0"/>
          <w:color w:val="000000"/>
          <w:sz w:val="20"/>
          <w:lang w:eastAsia="zh-CN" w:bidi="en-US"/>
        </w:rPr>
        <w:fldChar w:fldCharType="separate"/>
      </w:r>
      <w:r w:rsidRPr="00BD1045">
        <w:rPr>
          <w:rFonts w:ascii="Palatino Linotype" w:eastAsia="Arial" w:hAnsi="Palatino Linotype"/>
          <w:bCs/>
          <w:snapToGrid w:val="0"/>
          <w:color w:val="000000"/>
          <w:sz w:val="20"/>
          <w:lang w:eastAsia="zh-CN" w:bidi="en-US"/>
        </w:rPr>
        <w:t>(</w:t>
      </w:r>
      <w:proofErr w:type="spellStart"/>
      <w:r w:rsidRPr="00BD1045">
        <w:rPr>
          <w:rFonts w:ascii="Palatino Linotype" w:eastAsia="Arial" w:hAnsi="Palatino Linotype"/>
          <w:bCs/>
          <w:snapToGrid w:val="0"/>
          <w:color w:val="000000"/>
          <w:sz w:val="20"/>
          <w:lang w:eastAsia="zh-CN" w:bidi="en-US"/>
        </w:rPr>
        <w:t>Lapitan</w:t>
      </w:r>
      <w:proofErr w:type="spellEnd"/>
      <w:r w:rsidRPr="00BD1045">
        <w:rPr>
          <w:rFonts w:ascii="Palatino Linotype" w:eastAsia="Arial" w:hAnsi="Palatino Linotype"/>
          <w:bCs/>
          <w:snapToGrid w:val="0"/>
          <w:color w:val="000000"/>
          <w:sz w:val="20"/>
          <w:lang w:eastAsia="zh-CN" w:bidi="en-US"/>
        </w:rPr>
        <w:t xml:space="preserve">, Tiangco, </w:t>
      </w:r>
      <w:proofErr w:type="spellStart"/>
      <w:r w:rsidRPr="00BD1045">
        <w:rPr>
          <w:rFonts w:ascii="Palatino Linotype" w:eastAsia="Arial" w:hAnsi="Palatino Linotype"/>
          <w:bCs/>
          <w:snapToGrid w:val="0"/>
          <w:color w:val="000000"/>
          <w:sz w:val="20"/>
          <w:lang w:eastAsia="zh-CN" w:bidi="en-US"/>
        </w:rPr>
        <w:t>Sumalinog</w:t>
      </w:r>
      <w:proofErr w:type="spellEnd"/>
      <w:r w:rsidRPr="00BD1045">
        <w:rPr>
          <w:rFonts w:ascii="Palatino Linotype" w:eastAsia="Arial" w:hAnsi="Palatino Linotype"/>
          <w:bCs/>
          <w:snapToGrid w:val="0"/>
          <w:color w:val="000000"/>
          <w:sz w:val="20"/>
          <w:lang w:eastAsia="zh-CN" w:bidi="en-US"/>
        </w:rPr>
        <w:t xml:space="preserve">, </w:t>
      </w:r>
      <w:proofErr w:type="spellStart"/>
      <w:r w:rsidRPr="00BD1045">
        <w:rPr>
          <w:rFonts w:ascii="Palatino Linotype" w:eastAsia="Arial" w:hAnsi="Palatino Linotype"/>
          <w:bCs/>
          <w:snapToGrid w:val="0"/>
          <w:color w:val="000000"/>
          <w:sz w:val="20"/>
          <w:lang w:eastAsia="zh-CN" w:bidi="en-US"/>
        </w:rPr>
        <w:t>Sabarillo</w:t>
      </w:r>
      <w:proofErr w:type="spellEnd"/>
      <w:r w:rsidRPr="00BD1045">
        <w:rPr>
          <w:rFonts w:ascii="Palatino Linotype" w:eastAsia="Arial" w:hAnsi="Palatino Linotype"/>
          <w:bCs/>
          <w:snapToGrid w:val="0"/>
          <w:color w:val="000000"/>
          <w:sz w:val="20"/>
          <w:lang w:eastAsia="zh-CN" w:bidi="en-US"/>
        </w:rPr>
        <w:t>, &amp; Diaz, 2021)</w:t>
      </w:r>
      <w:r w:rsidRPr="00BD1045">
        <w:rPr>
          <w:rFonts w:ascii="Palatino Linotype" w:eastAsia="Arial" w:hAnsi="Palatino Linotype"/>
          <w:bCs/>
          <w:snapToGrid w:val="0"/>
          <w:color w:val="000000"/>
          <w:sz w:val="20"/>
          <w:lang w:eastAsia="zh-CN" w:bidi="en-US"/>
        </w:rPr>
        <w:fldChar w:fldCharType="end"/>
      </w:r>
      <w:r w:rsidRPr="00BD1045">
        <w:rPr>
          <w:rFonts w:ascii="Palatino Linotype" w:eastAsia="Arial" w:hAnsi="Palatino Linotype"/>
          <w:bCs/>
          <w:snapToGrid w:val="0"/>
          <w:color w:val="000000"/>
          <w:sz w:val="20"/>
          <w:lang w:eastAsia="zh-CN" w:bidi="en-US"/>
        </w:rPr>
        <w:t>.</w:t>
      </w:r>
    </w:p>
    <w:p w14:paraId="41A24FFB" w14:textId="5945303D" w:rsidR="00990CE2" w:rsidRPr="00723B12" w:rsidRDefault="00990CE2" w:rsidP="005579CA">
      <w:pPr>
        <w:pStyle w:val="Alishlah21heading1"/>
        <w:rPr>
          <w:rFonts w:eastAsia="Arial"/>
        </w:rPr>
      </w:pPr>
      <w:r>
        <w:rPr>
          <w:rFonts w:eastAsia="Arial"/>
        </w:rPr>
        <w:t>CONCLUSIONS</w:t>
      </w:r>
    </w:p>
    <w:p w14:paraId="4D8AE027" w14:textId="2AC4B9D8" w:rsidR="00C072F5" w:rsidRPr="00C072F5" w:rsidRDefault="002A6BFF" w:rsidP="002A6BFF">
      <w:pPr>
        <w:pStyle w:val="Alishlah21heading1"/>
        <w:numPr>
          <w:ilvl w:val="0"/>
          <w:numId w:val="0"/>
        </w:numPr>
        <w:ind w:firstLine="720"/>
        <w:jc w:val="both"/>
        <w:rPr>
          <w:b w:val="0"/>
        </w:rPr>
      </w:pPr>
      <w:r w:rsidRPr="002A6BFF">
        <w:rPr>
          <w:b w:val="0"/>
          <w:lang w:val="en-ID"/>
        </w:rPr>
        <w:t xml:space="preserve">The Covid-19 era that hit Indonesia in March 2020 has also changed the perception and implementation regarding the professionalism of the performance of Al </w:t>
      </w:r>
      <w:proofErr w:type="spellStart"/>
      <w:r w:rsidRPr="002A6BFF">
        <w:rPr>
          <w:b w:val="0"/>
          <w:lang w:val="en-ID"/>
        </w:rPr>
        <w:t>Washliyah</w:t>
      </w:r>
      <w:proofErr w:type="spellEnd"/>
      <w:r w:rsidRPr="002A6BFF">
        <w:rPr>
          <w:b w:val="0"/>
          <w:lang w:val="en-ID"/>
        </w:rPr>
        <w:t xml:space="preserve"> Nusantara Muslim University Lecturers. Al </w:t>
      </w:r>
      <w:proofErr w:type="spellStart"/>
      <w:r w:rsidRPr="002A6BFF">
        <w:rPr>
          <w:b w:val="0"/>
          <w:lang w:val="en-ID"/>
        </w:rPr>
        <w:t>Washliyah</w:t>
      </w:r>
      <w:proofErr w:type="spellEnd"/>
      <w:r w:rsidRPr="002A6BFF">
        <w:rPr>
          <w:b w:val="0"/>
          <w:lang w:val="en-ID"/>
        </w:rPr>
        <w:t xml:space="preserve"> Nusantara Muslim University issued guidelines on preventing Covid-19 by making 9 policy steps namely extending distance lectures until the even semester of the 2019/2020 academic year, providing special treatment for students who experience difficulties in online remote lectures such as network disruptions (among other things can be replaced by learning through modules, assignments to make scientific work and others), guidance activities and implementation of proposal seminars are carried out through online facilities and may meet face to face with due observance of Covid-19 handling standards and the maximum number of attendees is five people namely two supervisors, one examiner as well as students attending green table sessions and the head of the study program. Assessment of lecturer performance for lectures is based on the success of conducting lectures according to the schedule set by the study program and the minimum number of courses taught remains the same as before the Covid-19 pandemic. The results of the study show that during the Covid-19 pandemic the number of lecturer courses remained the same as before the Covid-19 pandemic, and lecturers were able to carry out lectures according to their schedule. Lectures by lecturers are carried out with WFH even though there are obstacles in its implementation.</w:t>
      </w:r>
    </w:p>
    <w:p w14:paraId="679CFC71" w14:textId="63C62317" w:rsidR="003667CE" w:rsidRPr="003667CE" w:rsidRDefault="003667CE" w:rsidP="000D291D">
      <w:pPr>
        <w:pStyle w:val="Alishlah21heading1"/>
        <w:numPr>
          <w:ilvl w:val="0"/>
          <w:numId w:val="0"/>
        </w:numPr>
        <w:ind w:firstLine="426"/>
        <w:jc w:val="both"/>
        <w:rPr>
          <w:b w:val="0"/>
          <w:bCs/>
        </w:rPr>
      </w:pPr>
    </w:p>
    <w:p w14:paraId="176C7A7A" w14:textId="77777777" w:rsidR="002B31FD" w:rsidRDefault="002B31FD" w:rsidP="002B31FD">
      <w:pPr>
        <w:pStyle w:val="Alishlah21heading1"/>
        <w:numPr>
          <w:ilvl w:val="0"/>
          <w:numId w:val="0"/>
        </w:numPr>
      </w:pPr>
      <w:r>
        <w:t>REFERENCES</w:t>
      </w:r>
    </w:p>
    <w:p w14:paraId="66781763" w14:textId="77777777" w:rsidR="002A6BFF" w:rsidRPr="002A6BFF" w:rsidRDefault="00C1793C"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fldChar w:fldCharType="begin" w:fldLock="1"/>
      </w:r>
      <w:r>
        <w:instrText xml:space="preserve">ADDIN Mendeley Bibliography CSL_BIBLIOGRAPHY </w:instrText>
      </w:r>
      <w:r>
        <w:fldChar w:fldCharType="separate"/>
      </w:r>
      <w:r w:rsidR="002A6BFF" w:rsidRPr="002A6BFF">
        <w:rPr>
          <w:rFonts w:ascii="Palatino Linotype" w:hAnsi="Palatino Linotype" w:cs="Times New Roman"/>
          <w:noProof/>
          <w:sz w:val="20"/>
          <w:szCs w:val="24"/>
          <w:lang w:val="en-US"/>
        </w:rPr>
        <w:fldChar w:fldCharType="begin" w:fldLock="1"/>
      </w:r>
      <w:r w:rsidR="002A6BFF" w:rsidRPr="002A6BFF">
        <w:rPr>
          <w:rFonts w:ascii="Palatino Linotype" w:hAnsi="Palatino Linotype" w:cs="Times New Roman"/>
          <w:noProof/>
          <w:sz w:val="20"/>
          <w:szCs w:val="24"/>
          <w:lang w:val="en-US"/>
        </w:rPr>
        <w:instrText xml:space="preserve">ADDIN Mendeley Bibliography CSL_BIBLIOGRAPHY </w:instrText>
      </w:r>
      <w:r w:rsidR="002A6BFF" w:rsidRPr="002A6BFF">
        <w:rPr>
          <w:rFonts w:ascii="Palatino Linotype" w:hAnsi="Palatino Linotype" w:cs="Times New Roman"/>
          <w:noProof/>
          <w:sz w:val="20"/>
          <w:szCs w:val="24"/>
          <w:lang w:val="en-US"/>
        </w:rPr>
        <w:fldChar w:fldCharType="separate"/>
      </w:r>
      <w:r w:rsidR="002A6BFF" w:rsidRPr="002A6BFF">
        <w:rPr>
          <w:rFonts w:ascii="Palatino Linotype" w:hAnsi="Palatino Linotype" w:cs="Times New Roman"/>
          <w:noProof/>
          <w:sz w:val="20"/>
          <w:szCs w:val="24"/>
          <w:lang w:val="en-US"/>
        </w:rPr>
        <w:t xml:space="preserve">Aditya, Z. F., &amp; Al-Fatih, S. (2021). Indonesian constitutional rights: expressing and purposing opinions on the internet. </w:t>
      </w:r>
      <w:r w:rsidR="002A6BFF" w:rsidRPr="002A6BFF">
        <w:rPr>
          <w:rFonts w:ascii="Palatino Linotype" w:hAnsi="Palatino Linotype" w:cs="Times New Roman"/>
          <w:i/>
          <w:iCs/>
          <w:noProof/>
          <w:sz w:val="20"/>
          <w:szCs w:val="24"/>
          <w:lang w:val="en-US"/>
        </w:rPr>
        <w:t>The International Journal of Human Rights</w:t>
      </w:r>
      <w:r w:rsidR="002A6BFF" w:rsidRPr="002A6BFF">
        <w:rPr>
          <w:rFonts w:ascii="Palatino Linotype" w:hAnsi="Palatino Linotype" w:cs="Times New Roman"/>
          <w:noProof/>
          <w:sz w:val="20"/>
          <w:szCs w:val="24"/>
          <w:lang w:val="en-US"/>
        </w:rPr>
        <w:t xml:space="preserve">, </w:t>
      </w:r>
      <w:r w:rsidR="002A6BFF" w:rsidRPr="002A6BFF">
        <w:rPr>
          <w:rFonts w:ascii="Palatino Linotype" w:hAnsi="Palatino Linotype" w:cs="Times New Roman"/>
          <w:i/>
          <w:iCs/>
          <w:noProof/>
          <w:sz w:val="20"/>
          <w:szCs w:val="24"/>
          <w:lang w:val="en-US"/>
        </w:rPr>
        <w:t>25</w:t>
      </w:r>
      <w:r w:rsidR="002A6BFF" w:rsidRPr="002A6BFF">
        <w:rPr>
          <w:rFonts w:ascii="Palatino Linotype" w:hAnsi="Palatino Linotype" w:cs="Times New Roman"/>
          <w:noProof/>
          <w:sz w:val="20"/>
          <w:szCs w:val="24"/>
          <w:lang w:val="en-US"/>
        </w:rPr>
        <w:t>(9), 1395–1419. https://doi.org/10.1080/13642987.2020.1826450</w:t>
      </w:r>
    </w:p>
    <w:p w14:paraId="28260D34"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Basar, A. M. (2021). Problematika Pembelajaran Jarak Jauh Pada Masa Pandemi Covid-19. </w:t>
      </w:r>
      <w:r w:rsidRPr="002A6BFF">
        <w:rPr>
          <w:rFonts w:ascii="Palatino Linotype" w:hAnsi="Palatino Linotype" w:cs="Times New Roman"/>
          <w:i/>
          <w:iCs/>
          <w:noProof/>
          <w:sz w:val="20"/>
          <w:szCs w:val="24"/>
          <w:lang w:val="en-US"/>
        </w:rPr>
        <w:t>Edunesia</w:t>
      </w:r>
      <w:r w:rsidRPr="002A6BFF">
        <w:rPr>
          <w:rFonts w:ascii="Times New Roman" w:hAnsi="Times New Roman" w:cs="Times New Roman"/>
          <w:i/>
          <w:iCs/>
          <w:noProof/>
          <w:sz w:val="20"/>
          <w:szCs w:val="24"/>
          <w:lang w:val="en-US"/>
        </w:rPr>
        <w:t> </w:t>
      </w:r>
      <w:r w:rsidRPr="002A6BFF">
        <w:rPr>
          <w:rFonts w:ascii="Palatino Linotype" w:hAnsi="Palatino Linotype" w:cs="Times New Roman"/>
          <w:i/>
          <w:iCs/>
          <w:noProof/>
          <w:sz w:val="20"/>
          <w:szCs w:val="24"/>
          <w:lang w:val="en-US"/>
        </w:rPr>
        <w:t>: Jurnal Ilmiah Pendidikan</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w:t>
      </w:r>
      <w:r w:rsidRPr="002A6BFF">
        <w:rPr>
          <w:rFonts w:ascii="Palatino Linotype" w:hAnsi="Palatino Linotype" w:cs="Times New Roman"/>
          <w:noProof/>
          <w:sz w:val="20"/>
          <w:szCs w:val="24"/>
          <w:lang w:val="en-US"/>
        </w:rPr>
        <w:t>(1), 208–218. https://doi.org/10.51276/edu.v2i1.112</w:t>
      </w:r>
    </w:p>
    <w:p w14:paraId="56D54E5E"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Basri, H. (2014). Using Qualitative Research in Accounting and Management Studies: Not a New Agenda. </w:t>
      </w:r>
      <w:r w:rsidRPr="002A6BFF">
        <w:rPr>
          <w:rFonts w:ascii="Palatino Linotype" w:hAnsi="Palatino Linotype" w:cs="Times New Roman"/>
          <w:i/>
          <w:iCs/>
          <w:noProof/>
          <w:sz w:val="20"/>
          <w:szCs w:val="24"/>
          <w:lang w:val="en-US"/>
        </w:rPr>
        <w:t>Journal of US-China Public Administration</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11</w:t>
      </w:r>
      <w:r w:rsidRPr="002A6BFF">
        <w:rPr>
          <w:rFonts w:ascii="Palatino Linotype" w:hAnsi="Palatino Linotype" w:cs="Times New Roman"/>
          <w:noProof/>
          <w:sz w:val="20"/>
          <w:szCs w:val="24"/>
          <w:lang w:val="en-US"/>
        </w:rPr>
        <w:t>(10), 831–838. https://doi.org/10.17265/1548-6591/2014.10.003</w:t>
      </w:r>
    </w:p>
    <w:p w14:paraId="502C5B1E"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Bear, L. (2014). Doubt, conflict, mediation: the anthropology of modern time. </w:t>
      </w:r>
      <w:r w:rsidRPr="002A6BFF">
        <w:rPr>
          <w:rFonts w:ascii="Palatino Linotype" w:hAnsi="Palatino Linotype" w:cs="Times New Roman"/>
          <w:i/>
          <w:iCs/>
          <w:noProof/>
          <w:sz w:val="20"/>
          <w:szCs w:val="24"/>
          <w:lang w:val="en-US"/>
        </w:rPr>
        <w:t>Journal of the Royal Anthropological Institute</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20</w:t>
      </w:r>
      <w:r w:rsidRPr="002A6BFF">
        <w:rPr>
          <w:rFonts w:ascii="Palatino Linotype" w:hAnsi="Palatino Linotype" w:cs="Times New Roman"/>
          <w:noProof/>
          <w:sz w:val="20"/>
          <w:szCs w:val="24"/>
          <w:lang w:val="en-US"/>
        </w:rPr>
        <w:t>, 3–30. https://doi.org/10.1111/1467-9655.12091</w:t>
      </w:r>
    </w:p>
    <w:p w14:paraId="50B0681D"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Creswell, J. W., &amp; Creswell, J. D. (2018). </w:t>
      </w:r>
      <w:r w:rsidRPr="002A6BFF">
        <w:rPr>
          <w:rFonts w:ascii="Palatino Linotype" w:hAnsi="Palatino Linotype" w:cs="Times New Roman"/>
          <w:i/>
          <w:iCs/>
          <w:noProof/>
          <w:sz w:val="20"/>
          <w:szCs w:val="24"/>
          <w:lang w:val="en-US"/>
        </w:rPr>
        <w:t>Research Design: Qualitative, Quantitative, and Mixed Methods Approaches</w:t>
      </w:r>
      <w:r w:rsidRPr="002A6BFF">
        <w:rPr>
          <w:rFonts w:ascii="Palatino Linotype" w:hAnsi="Palatino Linotype" w:cs="Times New Roman"/>
          <w:noProof/>
          <w:sz w:val="20"/>
          <w:szCs w:val="24"/>
          <w:lang w:val="en-US"/>
        </w:rPr>
        <w:t xml:space="preserve"> (5th ed.). Thousand Oaks, California: SAGE Publications, Inc.</w:t>
      </w:r>
    </w:p>
    <w:p w14:paraId="1A96EEB0"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Driel, J. van. (2021). Developing Science Teachers’ Pedagogical Content Knowledge. In </w:t>
      </w:r>
      <w:r w:rsidRPr="002A6BFF">
        <w:rPr>
          <w:rFonts w:ascii="Palatino Linotype" w:hAnsi="Palatino Linotype" w:cs="Times New Roman"/>
          <w:i/>
          <w:iCs/>
          <w:noProof/>
          <w:sz w:val="20"/>
          <w:szCs w:val="24"/>
          <w:lang w:val="en-US"/>
        </w:rPr>
        <w:t>Science Teachers’ Knowledge Development</w:t>
      </w:r>
      <w:r w:rsidRPr="002A6BFF">
        <w:rPr>
          <w:rFonts w:ascii="Palatino Linotype" w:hAnsi="Palatino Linotype" w:cs="Times New Roman"/>
          <w:noProof/>
          <w:sz w:val="20"/>
          <w:szCs w:val="24"/>
          <w:lang w:val="en-US"/>
        </w:rPr>
        <w:t xml:space="preserve"> (pp. 1–37). BRILL. https://doi.org/10.1163/9789004505452_001</w:t>
      </w:r>
    </w:p>
    <w:p w14:paraId="2B4F9AB9"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Fikri, A., &amp; Hasudungan, A. N. (2022). Siauw Giok Tjhan and Abdurrahman Wahid: History of Chinese Citizenship in Indonesia. </w:t>
      </w:r>
      <w:r w:rsidRPr="002A6BFF">
        <w:rPr>
          <w:rFonts w:ascii="Palatino Linotype" w:hAnsi="Palatino Linotype" w:cs="Times New Roman"/>
          <w:i/>
          <w:iCs/>
          <w:noProof/>
          <w:sz w:val="20"/>
          <w:szCs w:val="24"/>
          <w:lang w:val="en-US"/>
        </w:rPr>
        <w:t>Journal of Education, Society &amp; Multiculturalism</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3</w:t>
      </w:r>
      <w:r w:rsidRPr="002A6BFF">
        <w:rPr>
          <w:rFonts w:ascii="Palatino Linotype" w:hAnsi="Palatino Linotype" w:cs="Times New Roman"/>
          <w:noProof/>
          <w:sz w:val="20"/>
          <w:szCs w:val="24"/>
          <w:lang w:val="en-US"/>
        </w:rPr>
        <w:t>(1), 181–200. https://doi.org/10.2478/jesm-2022-0011</w:t>
      </w:r>
    </w:p>
    <w:p w14:paraId="27EF7B4F"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Firdaus, F., Anggreta, D. K., &amp; Yasin, F. (2020). Internalizing Multiculturalism Values Through Education: Anticipatory Strategies for Multicultural Problems and Intolerance in Indonesia. </w:t>
      </w:r>
      <w:r w:rsidRPr="002A6BFF">
        <w:rPr>
          <w:rFonts w:ascii="Palatino Linotype" w:hAnsi="Palatino Linotype" w:cs="Times New Roman"/>
          <w:i/>
          <w:iCs/>
          <w:noProof/>
          <w:sz w:val="20"/>
          <w:szCs w:val="24"/>
          <w:lang w:val="en-US"/>
        </w:rPr>
        <w:t>Jurnal Antropologi: Isu-Isu Sosial Budaya</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22</w:t>
      </w:r>
      <w:r w:rsidRPr="002A6BFF">
        <w:rPr>
          <w:rFonts w:ascii="Palatino Linotype" w:hAnsi="Palatino Linotype" w:cs="Times New Roman"/>
          <w:noProof/>
          <w:sz w:val="20"/>
          <w:szCs w:val="24"/>
          <w:lang w:val="en-US"/>
        </w:rPr>
        <w:t>(1), 131. https://doi.org/10.25077/jantro.v22.n1.p131-141.2020</w:t>
      </w:r>
    </w:p>
    <w:p w14:paraId="295A3FD8"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Fitria, T. N. (2020). Teaching English through Online System During Covis 19 pandemic. </w:t>
      </w:r>
      <w:r w:rsidRPr="002A6BFF">
        <w:rPr>
          <w:rFonts w:ascii="Palatino Linotype" w:hAnsi="Palatino Linotype" w:cs="Times New Roman"/>
          <w:i/>
          <w:iCs/>
          <w:noProof/>
          <w:sz w:val="20"/>
          <w:szCs w:val="24"/>
          <w:lang w:val="en-US"/>
        </w:rPr>
        <w:t>International Journal of Advanced Scientific Research &amp; Development. (IJASRD)</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1</w:t>
      </w:r>
      <w:r w:rsidRPr="002A6BFF">
        <w:rPr>
          <w:rFonts w:ascii="Palatino Linotype" w:hAnsi="Palatino Linotype" w:cs="Times New Roman"/>
          <w:noProof/>
          <w:sz w:val="20"/>
          <w:szCs w:val="24"/>
          <w:lang w:val="en-US"/>
        </w:rPr>
        <w:t>(3394), 7–20. https://doi.org/10.32332/pedagogy.v8i2.</w:t>
      </w:r>
    </w:p>
    <w:p w14:paraId="06501983"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Gherheș, V., Stoian, C. E., Fărcașiu, M. A., &amp; Stanici, M. (2021). E-Learning vs. Face-To-Face Learning: Analyzing Students’ Preferences and Behaviors. </w:t>
      </w:r>
      <w:r w:rsidRPr="002A6BFF">
        <w:rPr>
          <w:rFonts w:ascii="Palatino Linotype" w:hAnsi="Palatino Linotype" w:cs="Times New Roman"/>
          <w:i/>
          <w:iCs/>
          <w:noProof/>
          <w:sz w:val="20"/>
          <w:szCs w:val="24"/>
          <w:lang w:val="en-US"/>
        </w:rPr>
        <w:t>Sustainability</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13</w:t>
      </w:r>
      <w:r w:rsidRPr="002A6BFF">
        <w:rPr>
          <w:rFonts w:ascii="Palatino Linotype" w:hAnsi="Palatino Linotype" w:cs="Times New Roman"/>
          <w:noProof/>
          <w:sz w:val="20"/>
          <w:szCs w:val="24"/>
          <w:lang w:val="en-US"/>
        </w:rPr>
        <w:t>(8), 4381. https://doi.org/10.3390/su13084381</w:t>
      </w:r>
    </w:p>
    <w:p w14:paraId="49EF7A79"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Hasibuan, A. L., Matondang, S. A., &amp; Nababan, S. A. (2022). Use of Islamic Malay Texts in Language Learning for Character Building. </w:t>
      </w:r>
      <w:r w:rsidRPr="002A6BFF">
        <w:rPr>
          <w:rFonts w:ascii="Palatino Linotype" w:hAnsi="Palatino Linotype" w:cs="Times New Roman"/>
          <w:i/>
          <w:iCs/>
          <w:noProof/>
          <w:sz w:val="20"/>
          <w:szCs w:val="24"/>
          <w:lang w:val="en-US"/>
        </w:rPr>
        <w:t>JETL (Journal of Education, Teaching and Learning)</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7</w:t>
      </w:r>
      <w:r w:rsidRPr="002A6BFF">
        <w:rPr>
          <w:rFonts w:ascii="Palatino Linotype" w:hAnsi="Palatino Linotype" w:cs="Times New Roman"/>
          <w:noProof/>
          <w:sz w:val="20"/>
          <w:szCs w:val="24"/>
          <w:lang w:val="en-US"/>
        </w:rPr>
        <w:t>(2), 218–223. https://doi.org/10.26737/jetl.v7i2.3350</w:t>
      </w:r>
    </w:p>
    <w:p w14:paraId="033A6387"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Hasibuan, E. A. H., &amp; Wulandari, S. (2017). Pengaruh Budaya Organisasi Dan Disiplin Kerja Terhadap Kinerja Pegawai Pada Universitas Muslim Nusantara Al-Washliyah. </w:t>
      </w:r>
      <w:r w:rsidRPr="002A6BFF">
        <w:rPr>
          <w:rFonts w:ascii="Palatino Linotype" w:hAnsi="Palatino Linotype" w:cs="Times New Roman"/>
          <w:i/>
          <w:iCs/>
          <w:noProof/>
          <w:sz w:val="20"/>
          <w:szCs w:val="24"/>
          <w:lang w:val="en-US"/>
        </w:rPr>
        <w:t>Jurnal Penelitian Pendidikan Sosial Humaniora</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w:t>
      </w:r>
      <w:r w:rsidRPr="002A6BFF">
        <w:rPr>
          <w:rFonts w:ascii="Palatino Linotype" w:hAnsi="Palatino Linotype" w:cs="Times New Roman"/>
          <w:noProof/>
          <w:sz w:val="20"/>
          <w:szCs w:val="24"/>
          <w:lang w:val="en-US"/>
        </w:rPr>
        <w:t>(1), 173–178. Retrieved from https://jurnal-lp2m.umnaw.ac.id/index.php/JP2SH/article/view/83</w:t>
      </w:r>
    </w:p>
    <w:p w14:paraId="7208F746"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Hasudungan, A. N., &amp; Abidin, N. F. (2020). Independent Learning: Forming The Pancasila Learner Through Historical Learning In Senior High School. In Suhartono (Ed.), </w:t>
      </w:r>
      <w:r w:rsidRPr="002A6BFF">
        <w:rPr>
          <w:rFonts w:ascii="Palatino Linotype" w:hAnsi="Palatino Linotype" w:cs="Times New Roman"/>
          <w:i/>
          <w:iCs/>
          <w:noProof/>
          <w:sz w:val="20"/>
          <w:szCs w:val="24"/>
          <w:lang w:val="en-US"/>
        </w:rPr>
        <w:t>Social, Humanities, and Education Studies (SHEs): Conference Series</w:t>
      </w:r>
      <w:r w:rsidRPr="002A6BFF">
        <w:rPr>
          <w:rFonts w:ascii="Palatino Linotype" w:hAnsi="Palatino Linotype" w:cs="Times New Roman"/>
          <w:noProof/>
          <w:sz w:val="20"/>
          <w:szCs w:val="24"/>
          <w:lang w:val="en-US"/>
        </w:rPr>
        <w:t xml:space="preserve"> (Vol. 3, pp. 34–42). Surakarta: Sebelas Maret Univeristy. https://doi.org/https://doi.org/10.20961/shes.v3i2.46219</w:t>
      </w:r>
    </w:p>
    <w:p w14:paraId="5D033257"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Hutasuhut, J. (2019). ANALISIS PENGARUH KOMPETENSI TEHADAP KINERJA DOSEN (Studi Kasus Pada Universitas Muslim Nusantara Al-Washliyah Medan). </w:t>
      </w:r>
      <w:r w:rsidRPr="002A6BFF">
        <w:rPr>
          <w:rFonts w:ascii="Palatino Linotype" w:hAnsi="Palatino Linotype" w:cs="Times New Roman"/>
          <w:i/>
          <w:iCs/>
          <w:noProof/>
          <w:sz w:val="20"/>
          <w:szCs w:val="24"/>
          <w:lang w:val="en-US"/>
        </w:rPr>
        <w:t>Prosiding Seminar Nasional &amp; Expo II Hasil Penelitian Dan Pengabdian Masyarakat 2019</w:t>
      </w:r>
      <w:r w:rsidRPr="002A6BFF">
        <w:rPr>
          <w:rFonts w:ascii="Palatino Linotype" w:hAnsi="Palatino Linotype" w:cs="Times New Roman"/>
          <w:noProof/>
          <w:sz w:val="20"/>
          <w:szCs w:val="24"/>
          <w:lang w:val="en-US"/>
        </w:rPr>
        <w:t>, 1099–1108. Medan: Universitas Muslim Nusantara Al Wasliyah Medan. Retrieved from https://e-prosiding.umnaw.ac.id/index.php/penelitian/article/download/324/324/</w:t>
      </w:r>
    </w:p>
    <w:p w14:paraId="5EAF1263"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Hutasuhut, J., &amp; Saragih, A. (2019). Pengaruh Etika Kerja Islami Terhadap Kinerja Dosen (Studi Kasus Pada Universitas Muslim Nusantara Al-Wasliyah Medan). </w:t>
      </w:r>
      <w:r w:rsidRPr="002A6BFF">
        <w:rPr>
          <w:rFonts w:ascii="Palatino Linotype" w:hAnsi="Palatino Linotype" w:cs="Times New Roman"/>
          <w:i/>
          <w:iCs/>
          <w:noProof/>
          <w:sz w:val="20"/>
          <w:szCs w:val="24"/>
          <w:lang w:val="en-US"/>
        </w:rPr>
        <w:t>Best Journal (Biology Education, Sains and Technology)</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w:t>
      </w:r>
      <w:r w:rsidRPr="002A6BFF">
        <w:rPr>
          <w:rFonts w:ascii="Palatino Linotype" w:hAnsi="Palatino Linotype" w:cs="Times New Roman"/>
          <w:noProof/>
          <w:sz w:val="20"/>
          <w:szCs w:val="24"/>
          <w:lang w:val="en-US"/>
        </w:rPr>
        <w:t>(2), 01–07. https://doi.org/10.30743/best.v2i2.1976</w:t>
      </w:r>
    </w:p>
    <w:p w14:paraId="7D61578C"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Kadir, D., Sartika, I., Mirzachaerulsyah, E., &amp; Hasudungan, A. N. (2022). THE IMPACT OF LEARNING LOSS ON HIGHER EDUCATION STUDENTS IN INDONESIA: A CRITICAL REVIEW. </w:t>
      </w:r>
      <w:r w:rsidRPr="002A6BFF">
        <w:rPr>
          <w:rFonts w:ascii="Palatino Linotype" w:hAnsi="Palatino Linotype" w:cs="Times New Roman"/>
          <w:i/>
          <w:iCs/>
          <w:noProof/>
          <w:sz w:val="20"/>
          <w:szCs w:val="24"/>
          <w:lang w:val="en-US"/>
        </w:rPr>
        <w:t>International Journal of Distance Education and E-Learning</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8</w:t>
      </w:r>
      <w:r w:rsidRPr="002A6BFF">
        <w:rPr>
          <w:rFonts w:ascii="Palatino Linotype" w:hAnsi="Palatino Linotype" w:cs="Times New Roman"/>
          <w:noProof/>
          <w:sz w:val="20"/>
          <w:szCs w:val="24"/>
          <w:lang w:val="en-US"/>
        </w:rPr>
        <w:t>(1), 1–17. https://doi.org/https://doi.org/10.36261/ijdeel.v8i1.2648</w:t>
      </w:r>
    </w:p>
    <w:p w14:paraId="1A68922B"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Kim, L., Pongsakornrungsilp, P., Pongsakornrungsilp, S., Horam, N., &amp; Kumar, V. (2023). Key Determinants of Job Satisfaction among University Lecturers. </w:t>
      </w:r>
      <w:r w:rsidRPr="002A6BFF">
        <w:rPr>
          <w:rFonts w:ascii="Palatino Linotype" w:hAnsi="Palatino Linotype" w:cs="Times New Roman"/>
          <w:i/>
          <w:iCs/>
          <w:noProof/>
          <w:sz w:val="20"/>
          <w:szCs w:val="24"/>
          <w:lang w:val="en-US"/>
        </w:rPr>
        <w:t>Social Sciences</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12</w:t>
      </w:r>
      <w:r w:rsidRPr="002A6BFF">
        <w:rPr>
          <w:rFonts w:ascii="Palatino Linotype" w:hAnsi="Palatino Linotype" w:cs="Times New Roman"/>
          <w:noProof/>
          <w:sz w:val="20"/>
          <w:szCs w:val="24"/>
          <w:lang w:val="en-US"/>
        </w:rPr>
        <w:t>(3), 153. https://doi.org/10.3390/socsci12030153</w:t>
      </w:r>
    </w:p>
    <w:p w14:paraId="38BC3C49"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Lapitan, L. D., Tiangco, C. E., Sumalinog, D. A. G., Sabarillo, N. S., &amp; Diaz, J. M. (2021). An effective blended online teaching and learning strategy during the COVID-19 pandemic. </w:t>
      </w:r>
      <w:r w:rsidRPr="002A6BFF">
        <w:rPr>
          <w:rFonts w:ascii="Palatino Linotype" w:hAnsi="Palatino Linotype" w:cs="Times New Roman"/>
          <w:i/>
          <w:iCs/>
          <w:noProof/>
          <w:sz w:val="20"/>
          <w:szCs w:val="24"/>
          <w:lang w:val="en-US"/>
        </w:rPr>
        <w:t>Education for Chemical Engineers</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35</w:t>
      </w:r>
      <w:r w:rsidRPr="002A6BFF">
        <w:rPr>
          <w:rFonts w:ascii="Palatino Linotype" w:hAnsi="Palatino Linotype" w:cs="Times New Roman"/>
          <w:noProof/>
          <w:sz w:val="20"/>
          <w:szCs w:val="24"/>
          <w:lang w:val="en-US"/>
        </w:rPr>
        <w:t>, 116–131. https://doi.org/10.1016/j.ece.2021.01.012</w:t>
      </w:r>
    </w:p>
    <w:p w14:paraId="28618CFF"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López-Pastor, V., &amp; Sicilia-Camacho, A. (2017). Formative and shared assessment in higher education. Lessons learned and challenges for the future. </w:t>
      </w:r>
      <w:r w:rsidRPr="002A6BFF">
        <w:rPr>
          <w:rFonts w:ascii="Palatino Linotype" w:hAnsi="Palatino Linotype" w:cs="Times New Roman"/>
          <w:i/>
          <w:iCs/>
          <w:noProof/>
          <w:sz w:val="20"/>
          <w:szCs w:val="24"/>
          <w:lang w:val="en-US"/>
        </w:rPr>
        <w:t>Assessment &amp; Evaluation in Higher Education</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42</w:t>
      </w:r>
      <w:r w:rsidRPr="002A6BFF">
        <w:rPr>
          <w:rFonts w:ascii="Palatino Linotype" w:hAnsi="Palatino Linotype" w:cs="Times New Roman"/>
          <w:noProof/>
          <w:sz w:val="20"/>
          <w:szCs w:val="24"/>
          <w:lang w:val="en-US"/>
        </w:rPr>
        <w:t>(1), 77–97. https://doi.org/10.1080/02602938.2015.1083535</w:t>
      </w:r>
    </w:p>
    <w:p w14:paraId="416AC942"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Lubis, A. N. (2022). Inovasi Pembelajaran SMA/MAN Guru dalam Merancang Kurikulum Selama Pandemi Covid-19 Di Kecamatan Dolok Batu Nanggar. </w:t>
      </w:r>
      <w:r w:rsidRPr="002A6BFF">
        <w:rPr>
          <w:rFonts w:ascii="Palatino Linotype" w:hAnsi="Palatino Linotype" w:cs="Times New Roman"/>
          <w:i/>
          <w:iCs/>
          <w:noProof/>
          <w:sz w:val="20"/>
          <w:szCs w:val="24"/>
          <w:lang w:val="en-US"/>
        </w:rPr>
        <w:t>Education &amp; Learning</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w:t>
      </w:r>
      <w:r w:rsidRPr="002A6BFF">
        <w:rPr>
          <w:rFonts w:ascii="Palatino Linotype" w:hAnsi="Palatino Linotype" w:cs="Times New Roman"/>
          <w:noProof/>
          <w:sz w:val="20"/>
          <w:szCs w:val="24"/>
          <w:lang w:val="en-US"/>
        </w:rPr>
        <w:t>(1), 22–25. https://doi.org/10.57251/el.v2i1.245</w:t>
      </w:r>
    </w:p>
    <w:p w14:paraId="38B7D2C7"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Mauk, M. (2021). Quality of Democracy Makes a Difference, but Not for Everyone: How Political Interest, Education, and Conceptions of Democracy Condition the Relationship Between Democratic Quality and Political Trust. </w:t>
      </w:r>
      <w:r w:rsidRPr="002A6BFF">
        <w:rPr>
          <w:rFonts w:ascii="Palatino Linotype" w:hAnsi="Palatino Linotype" w:cs="Times New Roman"/>
          <w:i/>
          <w:iCs/>
          <w:noProof/>
          <w:sz w:val="20"/>
          <w:szCs w:val="24"/>
          <w:lang w:val="en-US"/>
        </w:rPr>
        <w:t>Frontiers in Political Science</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3</w:t>
      </w:r>
      <w:r w:rsidRPr="002A6BFF">
        <w:rPr>
          <w:rFonts w:ascii="Palatino Linotype" w:hAnsi="Palatino Linotype" w:cs="Times New Roman"/>
          <w:noProof/>
          <w:sz w:val="20"/>
          <w:szCs w:val="24"/>
          <w:lang w:val="en-US"/>
        </w:rPr>
        <w:t>(May), 1–14. https://doi.org/10.3389/fpos.2021.637344</w:t>
      </w:r>
    </w:p>
    <w:p w14:paraId="7F1DE20C"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Misra, F., &amp; Mazelfi, I. (2021). Long-Distance Online Learning During Pandemic: The Role of Communication, Working in Group, and Self- Directed Learning in Developing Student’s Confidence. </w:t>
      </w:r>
      <w:r w:rsidRPr="002A6BFF">
        <w:rPr>
          <w:rFonts w:ascii="Palatino Linotype" w:hAnsi="Palatino Linotype" w:cs="Times New Roman"/>
          <w:i/>
          <w:iCs/>
          <w:noProof/>
          <w:sz w:val="20"/>
          <w:szCs w:val="24"/>
          <w:lang w:val="en-US"/>
        </w:rPr>
        <w:t>Proceedings of the 3rd International Conference on Educational Development and Quality Assurance (ICED-QA 2020)</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506</w:t>
      </w:r>
      <w:r w:rsidRPr="002A6BFF">
        <w:rPr>
          <w:rFonts w:ascii="Palatino Linotype" w:hAnsi="Palatino Linotype" w:cs="Times New Roman"/>
          <w:noProof/>
          <w:sz w:val="20"/>
          <w:szCs w:val="24"/>
          <w:lang w:val="en-US"/>
        </w:rPr>
        <w:t>, 225–234. https://doi.org/10.2991/assehr.k.210202.042</w:t>
      </w:r>
    </w:p>
    <w:p w14:paraId="3875EAAF"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Nurjanah, W., Musadad, A. A., &amp; Purwanta, H. (2021). Implementation of distance history learning during the Pandemic Covid-19. </w:t>
      </w:r>
      <w:r w:rsidRPr="002A6BFF">
        <w:rPr>
          <w:rFonts w:ascii="Palatino Linotype" w:hAnsi="Palatino Linotype" w:cs="Times New Roman"/>
          <w:i/>
          <w:iCs/>
          <w:noProof/>
          <w:sz w:val="20"/>
          <w:szCs w:val="24"/>
          <w:lang w:val="en-US"/>
        </w:rPr>
        <w:t>International Journal for Educational and Vocational Studies</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3</w:t>
      </w:r>
      <w:r w:rsidRPr="002A6BFF">
        <w:rPr>
          <w:rFonts w:ascii="Palatino Linotype" w:hAnsi="Palatino Linotype" w:cs="Times New Roman"/>
          <w:noProof/>
          <w:sz w:val="20"/>
          <w:szCs w:val="24"/>
          <w:lang w:val="en-US"/>
        </w:rPr>
        <w:t>(4), 243. https://doi.org/10.29103/ijevs.v3i4.3926</w:t>
      </w:r>
    </w:p>
    <w:p w14:paraId="1EB90D06"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Olsen, J. K., Faucon, L., &amp; Dillenbourg, P. (2020). Transferring interactive activities in large lectures from face-to-face to online settings. </w:t>
      </w:r>
      <w:r w:rsidRPr="002A6BFF">
        <w:rPr>
          <w:rFonts w:ascii="Palatino Linotype" w:hAnsi="Palatino Linotype" w:cs="Times New Roman"/>
          <w:i/>
          <w:iCs/>
          <w:noProof/>
          <w:sz w:val="20"/>
          <w:szCs w:val="24"/>
          <w:lang w:val="en-US"/>
        </w:rPr>
        <w:t>Information and Learning Sciences</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121</w:t>
      </w:r>
      <w:r w:rsidRPr="002A6BFF">
        <w:rPr>
          <w:rFonts w:ascii="Palatino Linotype" w:hAnsi="Palatino Linotype" w:cs="Times New Roman"/>
          <w:noProof/>
          <w:sz w:val="20"/>
          <w:szCs w:val="24"/>
          <w:lang w:val="en-US"/>
        </w:rPr>
        <w:t>(7/8), 559–567. https://doi.org/10.1108/ILS-04-2020-0109</w:t>
      </w:r>
    </w:p>
    <w:p w14:paraId="3C3563AA"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Sandars, J., Correia, R., Dankbaar, M., de Jong, P., Goh, P. S., Hege, I., … Pusic, M. (2020). Twelve tips for rapidly migrating to online learning during the COVID-19 pandemic. </w:t>
      </w:r>
      <w:r w:rsidRPr="002A6BFF">
        <w:rPr>
          <w:rFonts w:ascii="Palatino Linotype" w:hAnsi="Palatino Linotype" w:cs="Times New Roman"/>
          <w:i/>
          <w:iCs/>
          <w:noProof/>
          <w:sz w:val="20"/>
          <w:szCs w:val="24"/>
          <w:lang w:val="en-US"/>
        </w:rPr>
        <w:t>MedEdPublish</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9</w:t>
      </w:r>
      <w:r w:rsidRPr="002A6BFF">
        <w:rPr>
          <w:rFonts w:ascii="Palatino Linotype" w:hAnsi="Palatino Linotype" w:cs="Times New Roman"/>
          <w:noProof/>
          <w:sz w:val="20"/>
          <w:szCs w:val="24"/>
          <w:lang w:val="en-US"/>
        </w:rPr>
        <w:t>, 82. https://doi.org/10.15694/mep.2020.000082.1</w:t>
      </w:r>
    </w:p>
    <w:p w14:paraId="673D4B58"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Sudaryanto, S., Widayati, W., &amp; Amalia, R. (2020). Konsep Merdeka Belajar-Kampus Merdeka dan Aplikasinya dalam Pendidikan Bahasa (dan Sastra) Indonesia. </w:t>
      </w:r>
      <w:r w:rsidRPr="002A6BFF">
        <w:rPr>
          <w:rFonts w:ascii="Palatino Linotype" w:hAnsi="Palatino Linotype" w:cs="Times New Roman"/>
          <w:i/>
          <w:iCs/>
          <w:noProof/>
          <w:sz w:val="20"/>
          <w:szCs w:val="24"/>
          <w:lang w:val="en-US"/>
        </w:rPr>
        <w:t>Kode: Jurnal Bahasa</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9</w:t>
      </w:r>
      <w:r w:rsidRPr="002A6BFF">
        <w:rPr>
          <w:rFonts w:ascii="Palatino Linotype" w:hAnsi="Palatino Linotype" w:cs="Times New Roman"/>
          <w:noProof/>
          <w:sz w:val="20"/>
          <w:szCs w:val="24"/>
          <w:lang w:val="en-US"/>
        </w:rPr>
        <w:t>(2), 78–93. https://doi.org/10.24114/kjb.v9i2.18379</w:t>
      </w:r>
    </w:p>
    <w:p w14:paraId="35805FF6"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Sugiyono. (2017). </w:t>
      </w:r>
      <w:r w:rsidRPr="002A6BFF">
        <w:rPr>
          <w:rFonts w:ascii="Palatino Linotype" w:hAnsi="Palatino Linotype" w:cs="Times New Roman"/>
          <w:i/>
          <w:iCs/>
          <w:noProof/>
          <w:sz w:val="20"/>
          <w:szCs w:val="24"/>
          <w:lang w:val="en-US"/>
        </w:rPr>
        <w:t>Metode Penelitian Kuantitatif, Kualitatif, dan R&amp;D</w:t>
      </w:r>
      <w:r w:rsidRPr="002A6BFF">
        <w:rPr>
          <w:rFonts w:ascii="Palatino Linotype" w:hAnsi="Palatino Linotype" w:cs="Times New Roman"/>
          <w:noProof/>
          <w:sz w:val="20"/>
          <w:szCs w:val="24"/>
          <w:lang w:val="en-US"/>
        </w:rPr>
        <w:t>. Bandung: CV. Alfabeta.</w:t>
      </w:r>
    </w:p>
    <w:p w14:paraId="18EE36E9"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Suprapto, Y., Rifai, M., Faizah, F., &amp; Setiawan, A. (2020). The Role of Information Technology Knowledge and Online Learning on Learning Environmental Changes in Vocational Education. </w:t>
      </w:r>
      <w:r w:rsidRPr="002A6BFF">
        <w:rPr>
          <w:rFonts w:ascii="Palatino Linotype" w:hAnsi="Palatino Linotype" w:cs="Times New Roman"/>
          <w:i/>
          <w:iCs/>
          <w:noProof/>
          <w:sz w:val="20"/>
          <w:szCs w:val="24"/>
          <w:lang w:val="en-US"/>
        </w:rPr>
        <w:t>2020 Third International Conference on Vocational Education and Electrical Engineering (ICVEE)</w:t>
      </w:r>
      <w:r w:rsidRPr="002A6BFF">
        <w:rPr>
          <w:rFonts w:ascii="Palatino Linotype" w:hAnsi="Palatino Linotype" w:cs="Times New Roman"/>
          <w:noProof/>
          <w:sz w:val="20"/>
          <w:szCs w:val="24"/>
          <w:lang w:val="en-US"/>
        </w:rPr>
        <w:t>, 1–4. IEEE. https://doi.org/10.1109/ICVEE50212.2020.9243235</w:t>
      </w:r>
    </w:p>
    <w:p w14:paraId="05BD5A9F"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Tytherleigh, M. Y., Webb, C., Cooper, C. L., &amp; Ricketts, C. (2005). Occupational stress in UK higher education institutions: a comparative study of all staff categories. </w:t>
      </w:r>
      <w:r w:rsidRPr="002A6BFF">
        <w:rPr>
          <w:rFonts w:ascii="Palatino Linotype" w:hAnsi="Palatino Linotype" w:cs="Times New Roman"/>
          <w:i/>
          <w:iCs/>
          <w:noProof/>
          <w:sz w:val="20"/>
          <w:szCs w:val="24"/>
          <w:lang w:val="en-US"/>
        </w:rPr>
        <w:t>Higher Education Research &amp; Development</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24</w:t>
      </w:r>
      <w:r w:rsidRPr="002A6BFF">
        <w:rPr>
          <w:rFonts w:ascii="Palatino Linotype" w:hAnsi="Palatino Linotype" w:cs="Times New Roman"/>
          <w:noProof/>
          <w:sz w:val="20"/>
          <w:szCs w:val="24"/>
          <w:lang w:val="en-US"/>
        </w:rPr>
        <w:t>(1), 41–61. https://doi.org/10.1080/0729436052000318569</w:t>
      </w:r>
    </w:p>
    <w:p w14:paraId="4C4A2E4C"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Wardani, S., Haryani, S., Harmiasri, R., &amp; Sari, N. (2022). Implementation of Online Learning to Prepare the Youth Generation in the Disruptive Era. </w:t>
      </w:r>
      <w:r w:rsidRPr="002A6BFF">
        <w:rPr>
          <w:rFonts w:ascii="Palatino Linotype" w:hAnsi="Palatino Linotype" w:cs="Times New Roman"/>
          <w:i/>
          <w:iCs/>
          <w:noProof/>
          <w:sz w:val="20"/>
          <w:szCs w:val="24"/>
          <w:lang w:val="en-US"/>
        </w:rPr>
        <w:t>J-PEK (Jurnal Pembelajaran Kimia)</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7</w:t>
      </w:r>
      <w:r w:rsidRPr="002A6BFF">
        <w:rPr>
          <w:rFonts w:ascii="Palatino Linotype" w:hAnsi="Palatino Linotype" w:cs="Times New Roman"/>
          <w:noProof/>
          <w:sz w:val="20"/>
          <w:szCs w:val="24"/>
          <w:lang w:val="en-US"/>
        </w:rPr>
        <w:t>(1), 9–21. https://doi.org/10.17977/um026v7i12022p009</w:t>
      </w:r>
    </w:p>
    <w:p w14:paraId="54DEFDB6"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Warouw, D., Himpong, M., Pasoreh, Y., &amp; Matheosz, J. N. (2022). The Role of Online Food Selling Students through Social Media in Supporting the Entrepreneurial Creativity Program. </w:t>
      </w:r>
      <w:r w:rsidRPr="002A6BFF">
        <w:rPr>
          <w:rFonts w:ascii="Palatino Linotype" w:hAnsi="Palatino Linotype" w:cs="Times New Roman"/>
          <w:i/>
          <w:iCs/>
          <w:noProof/>
          <w:sz w:val="20"/>
          <w:szCs w:val="24"/>
          <w:lang w:val="en-US"/>
        </w:rPr>
        <w:t>Journal of Asian Multicultural Research for Economy and Management Study</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3</w:t>
      </w:r>
      <w:r w:rsidRPr="002A6BFF">
        <w:rPr>
          <w:rFonts w:ascii="Palatino Linotype" w:hAnsi="Palatino Linotype" w:cs="Times New Roman"/>
          <w:noProof/>
          <w:sz w:val="20"/>
          <w:szCs w:val="24"/>
          <w:lang w:val="en-US"/>
        </w:rPr>
        <w:t>(3), 25–36. https://doi.org/10.47616/jamrems.v3i3.340</w:t>
      </w:r>
    </w:p>
    <w:p w14:paraId="09B822BC"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www.realitasonline.id. (2020, April 8). UMN Al Washliyah Beri Bantuan Paket Internet Mahasiswa Saat Corona. </w:t>
      </w:r>
      <w:r w:rsidRPr="002A6BFF">
        <w:rPr>
          <w:rFonts w:ascii="Palatino Linotype" w:hAnsi="Palatino Linotype" w:cs="Times New Roman"/>
          <w:i/>
          <w:iCs/>
          <w:noProof/>
          <w:sz w:val="20"/>
          <w:szCs w:val="24"/>
          <w:lang w:val="en-US"/>
        </w:rPr>
        <w:t>Www.Realitasonline.Id</w:t>
      </w:r>
      <w:r w:rsidRPr="002A6BFF">
        <w:rPr>
          <w:rFonts w:ascii="Palatino Linotype" w:hAnsi="Palatino Linotype" w:cs="Times New Roman"/>
          <w:noProof/>
          <w:sz w:val="20"/>
          <w:szCs w:val="24"/>
          <w:lang w:val="en-US"/>
        </w:rPr>
        <w:t>. Retrieved from https://www.realitasonline.id/medan/10248052213/umn-al-washliyah-beri-bantuan-paket-internet-mahasiswa-saat-corona</w:t>
      </w:r>
    </w:p>
    <w:p w14:paraId="7819442F"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Yuan, F., &amp; Woodman, R. W. (2010). Innovative Behavior in the Workplace: The Role of Performance and Image Outcome Expectations. </w:t>
      </w:r>
      <w:r w:rsidRPr="002A6BFF">
        <w:rPr>
          <w:rFonts w:ascii="Palatino Linotype" w:hAnsi="Palatino Linotype" w:cs="Times New Roman"/>
          <w:i/>
          <w:iCs/>
          <w:noProof/>
          <w:sz w:val="20"/>
          <w:szCs w:val="24"/>
          <w:lang w:val="en-US"/>
        </w:rPr>
        <w:t>Academy of Management Journal</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53</w:t>
      </w:r>
      <w:r w:rsidRPr="002A6BFF">
        <w:rPr>
          <w:rFonts w:ascii="Palatino Linotype" w:hAnsi="Palatino Linotype" w:cs="Times New Roman"/>
          <w:noProof/>
          <w:sz w:val="20"/>
          <w:szCs w:val="24"/>
          <w:lang w:val="en-US"/>
        </w:rPr>
        <w:t>(2), 323–342. https://doi.org/10.5465/amj.2010.49388995</w:t>
      </w:r>
    </w:p>
    <w:p w14:paraId="7C59C09F" w14:textId="77777777" w:rsidR="002A6BFF" w:rsidRPr="002A6BFF" w:rsidRDefault="002A6BFF" w:rsidP="002A6BFF">
      <w:pPr>
        <w:widowControl w:val="0"/>
        <w:autoSpaceDE w:val="0"/>
        <w:autoSpaceDN w:val="0"/>
        <w:adjustRightInd w:val="0"/>
        <w:spacing w:after="0" w:line="240" w:lineRule="atLeast"/>
        <w:ind w:left="480" w:hanging="480"/>
        <w:jc w:val="both"/>
        <w:rPr>
          <w:rFonts w:ascii="Palatino Linotype" w:hAnsi="Palatino Linotype" w:cs="Times New Roman"/>
          <w:noProof/>
          <w:sz w:val="20"/>
          <w:szCs w:val="24"/>
          <w:lang w:val="en-US"/>
        </w:rPr>
      </w:pPr>
      <w:r w:rsidRPr="002A6BFF">
        <w:rPr>
          <w:rFonts w:ascii="Palatino Linotype" w:hAnsi="Palatino Linotype" w:cs="Times New Roman"/>
          <w:noProof/>
          <w:sz w:val="20"/>
          <w:szCs w:val="24"/>
          <w:lang w:val="en-US"/>
        </w:rPr>
        <w:t xml:space="preserve">Yunus, Y. (2021). Freedom of Association for Labours in the Industrial Relationship. </w:t>
      </w:r>
      <w:r w:rsidRPr="002A6BFF">
        <w:rPr>
          <w:rFonts w:ascii="Palatino Linotype" w:hAnsi="Palatino Linotype" w:cs="Times New Roman"/>
          <w:i/>
          <w:iCs/>
          <w:noProof/>
          <w:sz w:val="20"/>
          <w:szCs w:val="24"/>
          <w:lang w:val="en-US"/>
        </w:rPr>
        <w:t>Journal of Law and Legal Reform</w:t>
      </w:r>
      <w:r w:rsidRPr="002A6BFF">
        <w:rPr>
          <w:rFonts w:ascii="Palatino Linotype" w:hAnsi="Palatino Linotype" w:cs="Times New Roman"/>
          <w:noProof/>
          <w:sz w:val="20"/>
          <w:szCs w:val="24"/>
          <w:lang w:val="en-US"/>
        </w:rPr>
        <w:t xml:space="preserve">, </w:t>
      </w:r>
      <w:r w:rsidRPr="002A6BFF">
        <w:rPr>
          <w:rFonts w:ascii="Palatino Linotype" w:hAnsi="Palatino Linotype" w:cs="Times New Roman"/>
          <w:i/>
          <w:iCs/>
          <w:noProof/>
          <w:sz w:val="20"/>
          <w:szCs w:val="24"/>
          <w:lang w:val="en-US"/>
        </w:rPr>
        <w:t>2</w:t>
      </w:r>
      <w:r w:rsidRPr="002A6BFF">
        <w:rPr>
          <w:rFonts w:ascii="Palatino Linotype" w:hAnsi="Palatino Linotype" w:cs="Times New Roman"/>
          <w:noProof/>
          <w:sz w:val="20"/>
          <w:szCs w:val="24"/>
          <w:lang w:val="en-US"/>
        </w:rPr>
        <w:t>(3), 449–458. https://doi.org/10.15294/jllr.v2i2.46501</w:t>
      </w:r>
    </w:p>
    <w:p w14:paraId="7E310D72" w14:textId="1A3F9637" w:rsidR="008725AB" w:rsidRPr="008725AB" w:rsidRDefault="002A6BFF" w:rsidP="002A6BFF">
      <w:pPr>
        <w:widowControl w:val="0"/>
        <w:autoSpaceDE w:val="0"/>
        <w:autoSpaceDN w:val="0"/>
        <w:adjustRightInd w:val="0"/>
        <w:spacing w:after="0" w:line="240" w:lineRule="atLeast"/>
        <w:ind w:left="480" w:hanging="480"/>
        <w:jc w:val="both"/>
        <w:rPr>
          <w:rFonts w:ascii="Palatino Linotype" w:hAnsi="Palatino Linotype"/>
          <w:noProof/>
          <w:sz w:val="20"/>
        </w:rPr>
      </w:pPr>
      <w:r w:rsidRPr="002A6BFF">
        <w:rPr>
          <w:rFonts w:ascii="Palatino Linotype" w:hAnsi="Palatino Linotype" w:cs="Times New Roman"/>
          <w:noProof/>
          <w:sz w:val="20"/>
          <w:szCs w:val="24"/>
        </w:rPr>
        <w:fldChar w:fldCharType="end"/>
      </w:r>
    </w:p>
    <w:p w14:paraId="5F1AE064" w14:textId="662D5B9D" w:rsidR="00143989" w:rsidRPr="008F7EC5" w:rsidRDefault="00C1793C" w:rsidP="00ED3552">
      <w:pPr>
        <w:widowControl w:val="0"/>
        <w:autoSpaceDE w:val="0"/>
        <w:autoSpaceDN w:val="0"/>
        <w:adjustRightInd w:val="0"/>
        <w:spacing w:after="0" w:line="240" w:lineRule="atLeast"/>
        <w:ind w:left="480" w:hanging="480"/>
        <w:jc w:val="both"/>
      </w:pPr>
      <w:r>
        <w:fldChar w:fldCharType="end"/>
      </w:r>
    </w:p>
    <w:sectPr w:rsidR="00143989" w:rsidRPr="008F7EC5" w:rsidSect="001914CF">
      <w:headerReference w:type="default" r:id="rId19"/>
      <w:footerReference w:type="default" r:id="rId20"/>
      <w:headerReference w:type="first" r:id="rId21"/>
      <w:footerReference w:type="first" r:id="rId22"/>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E9C10" w14:textId="77777777" w:rsidR="004864D2" w:rsidRDefault="004864D2" w:rsidP="008E64A2">
      <w:pPr>
        <w:spacing w:after="0" w:line="240" w:lineRule="auto"/>
      </w:pPr>
      <w:r>
        <w:separator/>
      </w:r>
    </w:p>
    <w:p w14:paraId="55D5FAC9" w14:textId="77777777" w:rsidR="004864D2" w:rsidRDefault="004864D2"/>
  </w:endnote>
  <w:endnote w:type="continuationSeparator" w:id="0">
    <w:p w14:paraId="41F04BC8" w14:textId="77777777" w:rsidR="004864D2" w:rsidRDefault="004864D2" w:rsidP="008E64A2">
      <w:pPr>
        <w:spacing w:after="0" w:line="240" w:lineRule="auto"/>
      </w:pPr>
      <w:r>
        <w:continuationSeparator/>
      </w:r>
    </w:p>
    <w:p w14:paraId="3A9800B6" w14:textId="77777777" w:rsidR="004864D2" w:rsidRDefault="004864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3939"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4DEA"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551C8" w14:textId="77777777" w:rsidR="004864D2" w:rsidRDefault="004864D2" w:rsidP="008E64A2">
      <w:pPr>
        <w:spacing w:after="0" w:line="240" w:lineRule="auto"/>
      </w:pPr>
      <w:r>
        <w:separator/>
      </w:r>
    </w:p>
    <w:p w14:paraId="402F22CC" w14:textId="77777777" w:rsidR="004864D2" w:rsidRDefault="004864D2"/>
  </w:footnote>
  <w:footnote w:type="continuationSeparator" w:id="0">
    <w:p w14:paraId="7C36BE76" w14:textId="77777777" w:rsidR="004864D2" w:rsidRDefault="004864D2" w:rsidP="008E64A2">
      <w:pPr>
        <w:spacing w:after="0" w:line="240" w:lineRule="auto"/>
      </w:pPr>
      <w:r>
        <w:continuationSeparator/>
      </w:r>
    </w:p>
    <w:p w14:paraId="5B35B392" w14:textId="77777777" w:rsidR="004864D2" w:rsidRDefault="004864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B942" w14:textId="77777777"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11E23437" wp14:editId="2DF9E33F">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5588E5"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ED3552">
      <w:rPr>
        <w:rFonts w:ascii="Palatino Linotype" w:hAnsi="Palatino Linotype"/>
        <w:noProof/>
        <w:sz w:val="16"/>
      </w:rPr>
      <w:t>62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709AC209" w14:textId="77777777" w:rsidR="0067487C" w:rsidRDefault="006748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C3EF2"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57B7B25D"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3D427B91"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668FA361" wp14:editId="2F7BA29F">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CEAC2B"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0E5E07"/>
    <w:multiLevelType w:val="hybridMultilevel"/>
    <w:tmpl w:val="BCEAE9FA"/>
    <w:lvl w:ilvl="0" w:tplc="613EDED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FF139FE"/>
    <w:multiLevelType w:val="hybridMultilevel"/>
    <w:tmpl w:val="DA30F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 w15:restartNumberingAfterBreak="0">
    <w:nsid w:val="158E1E88"/>
    <w:multiLevelType w:val="hybridMultilevel"/>
    <w:tmpl w:val="7BF6FA94"/>
    <w:lvl w:ilvl="0" w:tplc="8FB8F536">
      <w:start w:val="1"/>
      <w:numFmt w:val="decimal"/>
      <w:lvlText w:val="3.%1."/>
      <w:lvlJc w:val="left"/>
      <w:pPr>
        <w:ind w:left="1200" w:hanging="360"/>
      </w:pPr>
      <w:rPr>
        <w:rFonts w:hint="default"/>
      </w:rPr>
    </w:lvl>
    <w:lvl w:ilvl="1" w:tplc="04210019" w:tentative="1">
      <w:start w:val="1"/>
      <w:numFmt w:val="lowerLetter"/>
      <w:lvlText w:val="%2."/>
      <w:lvlJc w:val="left"/>
      <w:pPr>
        <w:ind w:left="1920" w:hanging="360"/>
      </w:pPr>
    </w:lvl>
    <w:lvl w:ilvl="2" w:tplc="0421001B" w:tentative="1">
      <w:start w:val="1"/>
      <w:numFmt w:val="lowerRoman"/>
      <w:lvlText w:val="%3."/>
      <w:lvlJc w:val="right"/>
      <w:pPr>
        <w:ind w:left="2640" w:hanging="180"/>
      </w:pPr>
    </w:lvl>
    <w:lvl w:ilvl="3" w:tplc="0421000F" w:tentative="1">
      <w:start w:val="1"/>
      <w:numFmt w:val="decimal"/>
      <w:lvlText w:val="%4."/>
      <w:lvlJc w:val="left"/>
      <w:pPr>
        <w:ind w:left="3360" w:hanging="360"/>
      </w:pPr>
    </w:lvl>
    <w:lvl w:ilvl="4" w:tplc="04210019" w:tentative="1">
      <w:start w:val="1"/>
      <w:numFmt w:val="lowerLetter"/>
      <w:lvlText w:val="%5."/>
      <w:lvlJc w:val="left"/>
      <w:pPr>
        <w:ind w:left="4080" w:hanging="360"/>
      </w:pPr>
    </w:lvl>
    <w:lvl w:ilvl="5" w:tplc="0421001B" w:tentative="1">
      <w:start w:val="1"/>
      <w:numFmt w:val="lowerRoman"/>
      <w:lvlText w:val="%6."/>
      <w:lvlJc w:val="right"/>
      <w:pPr>
        <w:ind w:left="4800" w:hanging="180"/>
      </w:pPr>
    </w:lvl>
    <w:lvl w:ilvl="6" w:tplc="0421000F" w:tentative="1">
      <w:start w:val="1"/>
      <w:numFmt w:val="decimal"/>
      <w:lvlText w:val="%7."/>
      <w:lvlJc w:val="left"/>
      <w:pPr>
        <w:ind w:left="5520" w:hanging="360"/>
      </w:pPr>
    </w:lvl>
    <w:lvl w:ilvl="7" w:tplc="04210019" w:tentative="1">
      <w:start w:val="1"/>
      <w:numFmt w:val="lowerLetter"/>
      <w:lvlText w:val="%8."/>
      <w:lvlJc w:val="left"/>
      <w:pPr>
        <w:ind w:left="6240" w:hanging="360"/>
      </w:pPr>
    </w:lvl>
    <w:lvl w:ilvl="8" w:tplc="0421001B" w:tentative="1">
      <w:start w:val="1"/>
      <w:numFmt w:val="lowerRoman"/>
      <w:lvlText w:val="%9."/>
      <w:lvlJc w:val="right"/>
      <w:pPr>
        <w:ind w:left="6960" w:hanging="180"/>
      </w:pPr>
    </w:lvl>
  </w:abstractNum>
  <w:abstractNum w:abstractNumId="7"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D186788"/>
    <w:multiLevelType w:val="hybridMultilevel"/>
    <w:tmpl w:val="D716E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3"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4" w15:restartNumberingAfterBreak="0">
    <w:nsid w:val="2D1654F6"/>
    <w:multiLevelType w:val="hybridMultilevel"/>
    <w:tmpl w:val="3902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12668E"/>
    <w:multiLevelType w:val="hybridMultilevel"/>
    <w:tmpl w:val="21C62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7"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189603E"/>
    <w:multiLevelType w:val="multilevel"/>
    <w:tmpl w:val="D4B4B71A"/>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9" w15:restartNumberingAfterBreak="0">
    <w:nsid w:val="469459C6"/>
    <w:multiLevelType w:val="hybridMultilevel"/>
    <w:tmpl w:val="92F414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4AA4920"/>
    <w:multiLevelType w:val="hybridMultilevel"/>
    <w:tmpl w:val="99A6F69E"/>
    <w:lvl w:ilvl="0" w:tplc="30B293F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F4C39BB"/>
    <w:multiLevelType w:val="hybridMultilevel"/>
    <w:tmpl w:val="737E2B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031A0E"/>
    <w:multiLevelType w:val="hybridMultilevel"/>
    <w:tmpl w:val="F2507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7" w15:restartNumberingAfterBreak="0">
    <w:nsid w:val="6C402C58"/>
    <w:multiLevelType w:val="hybridMultilevel"/>
    <w:tmpl w:val="A14E9E24"/>
    <w:lvl w:ilvl="0" w:tplc="EA4032B4">
      <w:start w:val="1"/>
      <w:numFmt w:val="decimal"/>
      <w:pStyle w:val="figurecaption"/>
      <w:lvlText w:val="Fig. %1."/>
      <w:lvlJc w:val="left"/>
      <w:pPr>
        <w:ind w:left="360" w:hanging="360"/>
      </w:pPr>
      <w:rPr>
        <w:rFonts w:ascii="Times New Roman" w:hAnsi="Times New Roman" w:cs="Times New Roman" w:hint="default"/>
        <w:b w:val="0"/>
        <w:bCs w:val="0"/>
        <w:i w:val="0"/>
        <w:iCs w:val="0"/>
        <w:caps w:val="0"/>
        <w:vanish w:val="0"/>
        <w:color w:val="auto"/>
        <w:sz w:val="20"/>
        <w:szCs w:val="16"/>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75FF18D4"/>
    <w:multiLevelType w:val="hybridMultilevel"/>
    <w:tmpl w:val="737E2B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D348E"/>
    <w:multiLevelType w:val="hybridMultilevel"/>
    <w:tmpl w:val="B12C53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6299479">
    <w:abstractNumId w:val="13"/>
  </w:num>
  <w:num w:numId="2" w16cid:durableId="1635022119">
    <w:abstractNumId w:val="16"/>
  </w:num>
  <w:num w:numId="3" w16cid:durableId="501240182">
    <w:abstractNumId w:val="10"/>
  </w:num>
  <w:num w:numId="4" w16cid:durableId="980815470">
    <w:abstractNumId w:val="9"/>
  </w:num>
  <w:num w:numId="5" w16cid:durableId="1509830224">
    <w:abstractNumId w:val="22"/>
  </w:num>
  <w:num w:numId="6" w16cid:durableId="1938099639">
    <w:abstractNumId w:val="28"/>
  </w:num>
  <w:num w:numId="7" w16cid:durableId="240798750">
    <w:abstractNumId w:val="2"/>
  </w:num>
  <w:num w:numId="8" w16cid:durableId="1811170042">
    <w:abstractNumId w:val="26"/>
  </w:num>
  <w:num w:numId="9" w16cid:durableId="422537258">
    <w:abstractNumId w:val="12"/>
  </w:num>
  <w:num w:numId="10" w16cid:durableId="721447368">
    <w:abstractNumId w:val="23"/>
  </w:num>
  <w:num w:numId="11" w16cid:durableId="13126329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2557794">
    <w:abstractNumId w:val="29"/>
  </w:num>
  <w:num w:numId="13" w16cid:durableId="403651140">
    <w:abstractNumId w:val="3"/>
  </w:num>
  <w:num w:numId="14" w16cid:durableId="734671531">
    <w:abstractNumId w:val="17"/>
  </w:num>
  <w:num w:numId="15" w16cid:durableId="865800153">
    <w:abstractNumId w:val="20"/>
  </w:num>
  <w:num w:numId="16" w16cid:durableId="1323385111">
    <w:abstractNumId w:val="0"/>
  </w:num>
  <w:num w:numId="17" w16cid:durableId="1500269948">
    <w:abstractNumId w:val="7"/>
  </w:num>
  <w:num w:numId="18" w16cid:durableId="644430969">
    <w:abstractNumId w:val="11"/>
  </w:num>
  <w:num w:numId="19" w16cid:durableId="1034890231">
    <w:abstractNumId w:val="14"/>
  </w:num>
  <w:num w:numId="20" w16cid:durableId="1673678250">
    <w:abstractNumId w:val="30"/>
  </w:num>
  <w:num w:numId="21" w16cid:durableId="1723557732">
    <w:abstractNumId w:val="24"/>
  </w:num>
  <w:num w:numId="22" w16cid:durableId="186993733">
    <w:abstractNumId w:val="31"/>
  </w:num>
  <w:num w:numId="23" w16cid:durableId="910702810">
    <w:abstractNumId w:val="19"/>
  </w:num>
  <w:num w:numId="24" w16cid:durableId="942418527">
    <w:abstractNumId w:val="15"/>
  </w:num>
  <w:num w:numId="25" w16cid:durableId="2114670940">
    <w:abstractNumId w:val="4"/>
  </w:num>
  <w:num w:numId="26" w16cid:durableId="218907995">
    <w:abstractNumId w:val="1"/>
  </w:num>
  <w:num w:numId="27" w16cid:durableId="1922637010">
    <w:abstractNumId w:val="21"/>
  </w:num>
  <w:num w:numId="28" w16cid:durableId="238952761">
    <w:abstractNumId w:val="18"/>
  </w:num>
  <w:num w:numId="29" w16cid:durableId="1295940336">
    <w:abstractNumId w:val="27"/>
  </w:num>
  <w:num w:numId="30" w16cid:durableId="1080448012">
    <w:abstractNumId w:val="6"/>
  </w:num>
  <w:num w:numId="31" w16cid:durableId="1024552884">
    <w:abstractNumId w:val="8"/>
  </w:num>
  <w:num w:numId="32" w16cid:durableId="689991830">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S0MLQ0MDMwNDU1MTdW0lEKTi0uzszPAykwtqwFALZdHHotAAAA"/>
  </w:docVars>
  <w:rsids>
    <w:rsidRoot w:val="00811353"/>
    <w:rsid w:val="000061CE"/>
    <w:rsid w:val="00031DD5"/>
    <w:rsid w:val="000333AC"/>
    <w:rsid w:val="000355EA"/>
    <w:rsid w:val="00035C67"/>
    <w:rsid w:val="00056E9C"/>
    <w:rsid w:val="00060F57"/>
    <w:rsid w:val="00063931"/>
    <w:rsid w:val="000735BB"/>
    <w:rsid w:val="00075197"/>
    <w:rsid w:val="000831BD"/>
    <w:rsid w:val="000A13A3"/>
    <w:rsid w:val="000A36F0"/>
    <w:rsid w:val="000B094B"/>
    <w:rsid w:val="000D08C5"/>
    <w:rsid w:val="000D25E4"/>
    <w:rsid w:val="000D291D"/>
    <w:rsid w:val="000D5EE8"/>
    <w:rsid w:val="000E2588"/>
    <w:rsid w:val="000E2C60"/>
    <w:rsid w:val="000E7A05"/>
    <w:rsid w:val="000F1812"/>
    <w:rsid w:val="000F66B9"/>
    <w:rsid w:val="00102227"/>
    <w:rsid w:val="00114306"/>
    <w:rsid w:val="001243A3"/>
    <w:rsid w:val="001264BB"/>
    <w:rsid w:val="00132FF7"/>
    <w:rsid w:val="001358C8"/>
    <w:rsid w:val="00135C99"/>
    <w:rsid w:val="001407B9"/>
    <w:rsid w:val="00143989"/>
    <w:rsid w:val="00145F3A"/>
    <w:rsid w:val="00147524"/>
    <w:rsid w:val="00151740"/>
    <w:rsid w:val="00156B4B"/>
    <w:rsid w:val="001603B5"/>
    <w:rsid w:val="0016230B"/>
    <w:rsid w:val="00165207"/>
    <w:rsid w:val="00175AF2"/>
    <w:rsid w:val="00182EA2"/>
    <w:rsid w:val="001914CF"/>
    <w:rsid w:val="001A0377"/>
    <w:rsid w:val="001A4292"/>
    <w:rsid w:val="001A5587"/>
    <w:rsid w:val="001A581B"/>
    <w:rsid w:val="001B39DB"/>
    <w:rsid w:val="001C1084"/>
    <w:rsid w:val="001C18FA"/>
    <w:rsid w:val="001C30E8"/>
    <w:rsid w:val="001C7B8C"/>
    <w:rsid w:val="001C7F61"/>
    <w:rsid w:val="001E2825"/>
    <w:rsid w:val="001E42C1"/>
    <w:rsid w:val="001F1F8B"/>
    <w:rsid w:val="001F4625"/>
    <w:rsid w:val="002001C5"/>
    <w:rsid w:val="00202D95"/>
    <w:rsid w:val="00205124"/>
    <w:rsid w:val="00206574"/>
    <w:rsid w:val="0022427B"/>
    <w:rsid w:val="002263FF"/>
    <w:rsid w:val="00226E30"/>
    <w:rsid w:val="00234C74"/>
    <w:rsid w:val="0023514C"/>
    <w:rsid w:val="00242213"/>
    <w:rsid w:val="002456AF"/>
    <w:rsid w:val="00245BDA"/>
    <w:rsid w:val="002663A1"/>
    <w:rsid w:val="00270B5A"/>
    <w:rsid w:val="00287854"/>
    <w:rsid w:val="00290481"/>
    <w:rsid w:val="00291643"/>
    <w:rsid w:val="002A02C2"/>
    <w:rsid w:val="002A2BCB"/>
    <w:rsid w:val="002A41C9"/>
    <w:rsid w:val="002A6BFF"/>
    <w:rsid w:val="002A7ABC"/>
    <w:rsid w:val="002B31FD"/>
    <w:rsid w:val="002B59BA"/>
    <w:rsid w:val="002C0837"/>
    <w:rsid w:val="002C27E2"/>
    <w:rsid w:val="002C57D4"/>
    <w:rsid w:val="002E63B7"/>
    <w:rsid w:val="00300C74"/>
    <w:rsid w:val="003037AA"/>
    <w:rsid w:val="00307DF5"/>
    <w:rsid w:val="00311150"/>
    <w:rsid w:val="00312FBF"/>
    <w:rsid w:val="0031319A"/>
    <w:rsid w:val="00314C1A"/>
    <w:rsid w:val="0032467B"/>
    <w:rsid w:val="00325B99"/>
    <w:rsid w:val="00330DE2"/>
    <w:rsid w:val="00332A14"/>
    <w:rsid w:val="00340D1C"/>
    <w:rsid w:val="0034182D"/>
    <w:rsid w:val="00351943"/>
    <w:rsid w:val="003538FA"/>
    <w:rsid w:val="00357F3F"/>
    <w:rsid w:val="00365268"/>
    <w:rsid w:val="003667CE"/>
    <w:rsid w:val="00366DA9"/>
    <w:rsid w:val="003670E2"/>
    <w:rsid w:val="00367C25"/>
    <w:rsid w:val="003705BE"/>
    <w:rsid w:val="00376360"/>
    <w:rsid w:val="00376B69"/>
    <w:rsid w:val="003807D8"/>
    <w:rsid w:val="003827AC"/>
    <w:rsid w:val="00392773"/>
    <w:rsid w:val="003A0598"/>
    <w:rsid w:val="003A4F0F"/>
    <w:rsid w:val="003C3B3B"/>
    <w:rsid w:val="003D061C"/>
    <w:rsid w:val="003D4D27"/>
    <w:rsid w:val="003E5BB6"/>
    <w:rsid w:val="003F3A9E"/>
    <w:rsid w:val="00406797"/>
    <w:rsid w:val="0041197B"/>
    <w:rsid w:val="004258A8"/>
    <w:rsid w:val="004268F9"/>
    <w:rsid w:val="00432323"/>
    <w:rsid w:val="004333C2"/>
    <w:rsid w:val="00434F97"/>
    <w:rsid w:val="00435996"/>
    <w:rsid w:val="00444B72"/>
    <w:rsid w:val="004521BE"/>
    <w:rsid w:val="00457015"/>
    <w:rsid w:val="00461028"/>
    <w:rsid w:val="0046343C"/>
    <w:rsid w:val="004642B9"/>
    <w:rsid w:val="00465B35"/>
    <w:rsid w:val="004712CB"/>
    <w:rsid w:val="00472F74"/>
    <w:rsid w:val="0047331C"/>
    <w:rsid w:val="00474E7E"/>
    <w:rsid w:val="004763B3"/>
    <w:rsid w:val="00481C3F"/>
    <w:rsid w:val="0048254D"/>
    <w:rsid w:val="004864D2"/>
    <w:rsid w:val="00493322"/>
    <w:rsid w:val="00497826"/>
    <w:rsid w:val="004A39B9"/>
    <w:rsid w:val="004A4086"/>
    <w:rsid w:val="004C2768"/>
    <w:rsid w:val="004C2BBB"/>
    <w:rsid w:val="004C67A3"/>
    <w:rsid w:val="004C700A"/>
    <w:rsid w:val="004D00C2"/>
    <w:rsid w:val="004D0C98"/>
    <w:rsid w:val="004D0EAE"/>
    <w:rsid w:val="004D186F"/>
    <w:rsid w:val="004D46B3"/>
    <w:rsid w:val="004D7BE4"/>
    <w:rsid w:val="004F29DF"/>
    <w:rsid w:val="004F6BCE"/>
    <w:rsid w:val="005041B5"/>
    <w:rsid w:val="0050557B"/>
    <w:rsid w:val="005145F9"/>
    <w:rsid w:val="00526694"/>
    <w:rsid w:val="005340DA"/>
    <w:rsid w:val="005409B7"/>
    <w:rsid w:val="00543FB4"/>
    <w:rsid w:val="00546816"/>
    <w:rsid w:val="0055125A"/>
    <w:rsid w:val="00553E8B"/>
    <w:rsid w:val="0055535C"/>
    <w:rsid w:val="005579CA"/>
    <w:rsid w:val="00557A01"/>
    <w:rsid w:val="00561289"/>
    <w:rsid w:val="005648A2"/>
    <w:rsid w:val="00566877"/>
    <w:rsid w:val="005710E6"/>
    <w:rsid w:val="0057613A"/>
    <w:rsid w:val="005807EE"/>
    <w:rsid w:val="00586F2D"/>
    <w:rsid w:val="0059083D"/>
    <w:rsid w:val="005909CA"/>
    <w:rsid w:val="00590ECF"/>
    <w:rsid w:val="00592330"/>
    <w:rsid w:val="00597553"/>
    <w:rsid w:val="005A0E25"/>
    <w:rsid w:val="005A317A"/>
    <w:rsid w:val="005A7A9C"/>
    <w:rsid w:val="005B0D7F"/>
    <w:rsid w:val="005B4643"/>
    <w:rsid w:val="005B5AEC"/>
    <w:rsid w:val="005C48C6"/>
    <w:rsid w:val="005C4902"/>
    <w:rsid w:val="005C7EC7"/>
    <w:rsid w:val="005D00BE"/>
    <w:rsid w:val="005D18A2"/>
    <w:rsid w:val="005D403C"/>
    <w:rsid w:val="005D421D"/>
    <w:rsid w:val="005D7925"/>
    <w:rsid w:val="005F7FE7"/>
    <w:rsid w:val="006006DE"/>
    <w:rsid w:val="0061136D"/>
    <w:rsid w:val="00617741"/>
    <w:rsid w:val="00617F4A"/>
    <w:rsid w:val="00626BB2"/>
    <w:rsid w:val="00626D7A"/>
    <w:rsid w:val="00630559"/>
    <w:rsid w:val="006405DC"/>
    <w:rsid w:val="00642A67"/>
    <w:rsid w:val="00655540"/>
    <w:rsid w:val="006659EC"/>
    <w:rsid w:val="00673FE2"/>
    <w:rsid w:val="0067487C"/>
    <w:rsid w:val="00674F13"/>
    <w:rsid w:val="00675603"/>
    <w:rsid w:val="006802BF"/>
    <w:rsid w:val="00680D05"/>
    <w:rsid w:val="00684266"/>
    <w:rsid w:val="006858CA"/>
    <w:rsid w:val="00686344"/>
    <w:rsid w:val="006875E7"/>
    <w:rsid w:val="00690C1D"/>
    <w:rsid w:val="0069239F"/>
    <w:rsid w:val="006A6719"/>
    <w:rsid w:val="006A74F6"/>
    <w:rsid w:val="006B3B48"/>
    <w:rsid w:val="006B5DB7"/>
    <w:rsid w:val="006C2137"/>
    <w:rsid w:val="006C706E"/>
    <w:rsid w:val="006C79FB"/>
    <w:rsid w:val="006D0B77"/>
    <w:rsid w:val="006D3B73"/>
    <w:rsid w:val="006E711A"/>
    <w:rsid w:val="006F0088"/>
    <w:rsid w:val="006F160B"/>
    <w:rsid w:val="00701A0F"/>
    <w:rsid w:val="007117AC"/>
    <w:rsid w:val="0071335B"/>
    <w:rsid w:val="00716FCB"/>
    <w:rsid w:val="00717FE7"/>
    <w:rsid w:val="00721B39"/>
    <w:rsid w:val="00723972"/>
    <w:rsid w:val="00727D5A"/>
    <w:rsid w:val="007353EA"/>
    <w:rsid w:val="007357CF"/>
    <w:rsid w:val="0073613A"/>
    <w:rsid w:val="0074579B"/>
    <w:rsid w:val="00750180"/>
    <w:rsid w:val="00751F6C"/>
    <w:rsid w:val="007549C7"/>
    <w:rsid w:val="007634BC"/>
    <w:rsid w:val="00763D48"/>
    <w:rsid w:val="007706D1"/>
    <w:rsid w:val="00775AC1"/>
    <w:rsid w:val="00776DFE"/>
    <w:rsid w:val="00784B9B"/>
    <w:rsid w:val="00787398"/>
    <w:rsid w:val="007A2C38"/>
    <w:rsid w:val="007A439C"/>
    <w:rsid w:val="007B2B7A"/>
    <w:rsid w:val="007B34B9"/>
    <w:rsid w:val="007B697E"/>
    <w:rsid w:val="007B6AD3"/>
    <w:rsid w:val="007B716C"/>
    <w:rsid w:val="007C0E45"/>
    <w:rsid w:val="007C2AFF"/>
    <w:rsid w:val="007E0F04"/>
    <w:rsid w:val="007E5CEF"/>
    <w:rsid w:val="007E6AA6"/>
    <w:rsid w:val="007E6E1C"/>
    <w:rsid w:val="007F0542"/>
    <w:rsid w:val="007F2733"/>
    <w:rsid w:val="007F4ECF"/>
    <w:rsid w:val="00802C6D"/>
    <w:rsid w:val="008036D9"/>
    <w:rsid w:val="0080680F"/>
    <w:rsid w:val="00806874"/>
    <w:rsid w:val="00811353"/>
    <w:rsid w:val="00833375"/>
    <w:rsid w:val="008477FA"/>
    <w:rsid w:val="008564AE"/>
    <w:rsid w:val="00863036"/>
    <w:rsid w:val="00865F7A"/>
    <w:rsid w:val="0086722F"/>
    <w:rsid w:val="008725AB"/>
    <w:rsid w:val="0087345F"/>
    <w:rsid w:val="00873823"/>
    <w:rsid w:val="00874DBD"/>
    <w:rsid w:val="00883EAA"/>
    <w:rsid w:val="008841DF"/>
    <w:rsid w:val="008858AA"/>
    <w:rsid w:val="00887B61"/>
    <w:rsid w:val="00891344"/>
    <w:rsid w:val="00893440"/>
    <w:rsid w:val="0089730B"/>
    <w:rsid w:val="008A31D0"/>
    <w:rsid w:val="008A4F02"/>
    <w:rsid w:val="008A6040"/>
    <w:rsid w:val="008B1B89"/>
    <w:rsid w:val="008C108B"/>
    <w:rsid w:val="008D0E8E"/>
    <w:rsid w:val="008D272B"/>
    <w:rsid w:val="008D5339"/>
    <w:rsid w:val="008D6030"/>
    <w:rsid w:val="008E27C5"/>
    <w:rsid w:val="008E64A2"/>
    <w:rsid w:val="008E73BC"/>
    <w:rsid w:val="008F618A"/>
    <w:rsid w:val="008F7EC5"/>
    <w:rsid w:val="00901CBD"/>
    <w:rsid w:val="00917553"/>
    <w:rsid w:val="00917C32"/>
    <w:rsid w:val="00921BF0"/>
    <w:rsid w:val="00922701"/>
    <w:rsid w:val="0092589D"/>
    <w:rsid w:val="00926A4F"/>
    <w:rsid w:val="0093299F"/>
    <w:rsid w:val="00935589"/>
    <w:rsid w:val="0093774D"/>
    <w:rsid w:val="0093781E"/>
    <w:rsid w:val="00941210"/>
    <w:rsid w:val="009466DD"/>
    <w:rsid w:val="009531D1"/>
    <w:rsid w:val="00961E09"/>
    <w:rsid w:val="00961F83"/>
    <w:rsid w:val="009636A4"/>
    <w:rsid w:val="00964447"/>
    <w:rsid w:val="00966B3D"/>
    <w:rsid w:val="00971961"/>
    <w:rsid w:val="009817AE"/>
    <w:rsid w:val="00982CCF"/>
    <w:rsid w:val="0098303C"/>
    <w:rsid w:val="00984D8C"/>
    <w:rsid w:val="00990CE2"/>
    <w:rsid w:val="00994754"/>
    <w:rsid w:val="009A356F"/>
    <w:rsid w:val="009B07D9"/>
    <w:rsid w:val="009B47F1"/>
    <w:rsid w:val="009C1B55"/>
    <w:rsid w:val="009C7544"/>
    <w:rsid w:val="009D09F2"/>
    <w:rsid w:val="009D3532"/>
    <w:rsid w:val="009D6D01"/>
    <w:rsid w:val="009E0363"/>
    <w:rsid w:val="009E292F"/>
    <w:rsid w:val="009E52F0"/>
    <w:rsid w:val="009F0C88"/>
    <w:rsid w:val="009F4146"/>
    <w:rsid w:val="009F43BB"/>
    <w:rsid w:val="009F4CD2"/>
    <w:rsid w:val="009F71B3"/>
    <w:rsid w:val="00A00078"/>
    <w:rsid w:val="00A02BB2"/>
    <w:rsid w:val="00A10E86"/>
    <w:rsid w:val="00A234A4"/>
    <w:rsid w:val="00A36D63"/>
    <w:rsid w:val="00A36F58"/>
    <w:rsid w:val="00A414CC"/>
    <w:rsid w:val="00A448B5"/>
    <w:rsid w:val="00A54BE9"/>
    <w:rsid w:val="00A604EE"/>
    <w:rsid w:val="00A63C8A"/>
    <w:rsid w:val="00A65B44"/>
    <w:rsid w:val="00A66748"/>
    <w:rsid w:val="00A671ED"/>
    <w:rsid w:val="00A75CB1"/>
    <w:rsid w:val="00A80097"/>
    <w:rsid w:val="00A8566A"/>
    <w:rsid w:val="00A91453"/>
    <w:rsid w:val="00A92E41"/>
    <w:rsid w:val="00A9472E"/>
    <w:rsid w:val="00A96285"/>
    <w:rsid w:val="00A9708A"/>
    <w:rsid w:val="00A97F4A"/>
    <w:rsid w:val="00AA5304"/>
    <w:rsid w:val="00AA580B"/>
    <w:rsid w:val="00AB2854"/>
    <w:rsid w:val="00AB4892"/>
    <w:rsid w:val="00AB6B7A"/>
    <w:rsid w:val="00AC475D"/>
    <w:rsid w:val="00AC5858"/>
    <w:rsid w:val="00AD26B9"/>
    <w:rsid w:val="00AD5A6E"/>
    <w:rsid w:val="00AD7FAB"/>
    <w:rsid w:val="00AE2A82"/>
    <w:rsid w:val="00AE7180"/>
    <w:rsid w:val="00AF12E9"/>
    <w:rsid w:val="00AF2F8D"/>
    <w:rsid w:val="00AF6218"/>
    <w:rsid w:val="00B00874"/>
    <w:rsid w:val="00B029BB"/>
    <w:rsid w:val="00B02BE4"/>
    <w:rsid w:val="00B03D8F"/>
    <w:rsid w:val="00B04201"/>
    <w:rsid w:val="00B07BA9"/>
    <w:rsid w:val="00B147E8"/>
    <w:rsid w:val="00B1769F"/>
    <w:rsid w:val="00B232F3"/>
    <w:rsid w:val="00B23D62"/>
    <w:rsid w:val="00B265CD"/>
    <w:rsid w:val="00B30D46"/>
    <w:rsid w:val="00B35AB9"/>
    <w:rsid w:val="00B402BC"/>
    <w:rsid w:val="00B4149F"/>
    <w:rsid w:val="00B449B4"/>
    <w:rsid w:val="00B52803"/>
    <w:rsid w:val="00B5764F"/>
    <w:rsid w:val="00B67ED6"/>
    <w:rsid w:val="00B7027E"/>
    <w:rsid w:val="00B72F3D"/>
    <w:rsid w:val="00B74337"/>
    <w:rsid w:val="00B96E43"/>
    <w:rsid w:val="00BA14D2"/>
    <w:rsid w:val="00BA707F"/>
    <w:rsid w:val="00BB6E10"/>
    <w:rsid w:val="00BD0A28"/>
    <w:rsid w:val="00BD0ABC"/>
    <w:rsid w:val="00BD1045"/>
    <w:rsid w:val="00BE1C9A"/>
    <w:rsid w:val="00BE2FF6"/>
    <w:rsid w:val="00BE398A"/>
    <w:rsid w:val="00BF0A78"/>
    <w:rsid w:val="00BF21AD"/>
    <w:rsid w:val="00BF2297"/>
    <w:rsid w:val="00BF4139"/>
    <w:rsid w:val="00BF4472"/>
    <w:rsid w:val="00BF582A"/>
    <w:rsid w:val="00BF6007"/>
    <w:rsid w:val="00C044E9"/>
    <w:rsid w:val="00C04C43"/>
    <w:rsid w:val="00C072F5"/>
    <w:rsid w:val="00C11EA1"/>
    <w:rsid w:val="00C1416D"/>
    <w:rsid w:val="00C1793C"/>
    <w:rsid w:val="00C21EFA"/>
    <w:rsid w:val="00C231D4"/>
    <w:rsid w:val="00C260B1"/>
    <w:rsid w:val="00C361A9"/>
    <w:rsid w:val="00C36799"/>
    <w:rsid w:val="00C37B1B"/>
    <w:rsid w:val="00C4197E"/>
    <w:rsid w:val="00C4224C"/>
    <w:rsid w:val="00C66ECA"/>
    <w:rsid w:val="00C721BA"/>
    <w:rsid w:val="00C8185E"/>
    <w:rsid w:val="00C8406B"/>
    <w:rsid w:val="00C91593"/>
    <w:rsid w:val="00C94847"/>
    <w:rsid w:val="00CA3B3C"/>
    <w:rsid w:val="00CB74D8"/>
    <w:rsid w:val="00CC0C2B"/>
    <w:rsid w:val="00CC3DB2"/>
    <w:rsid w:val="00CC7F21"/>
    <w:rsid w:val="00CD3AE9"/>
    <w:rsid w:val="00CE131B"/>
    <w:rsid w:val="00CE242C"/>
    <w:rsid w:val="00CF5425"/>
    <w:rsid w:val="00D04D7E"/>
    <w:rsid w:val="00D1381D"/>
    <w:rsid w:val="00D13D39"/>
    <w:rsid w:val="00D2091E"/>
    <w:rsid w:val="00D2296B"/>
    <w:rsid w:val="00D31547"/>
    <w:rsid w:val="00D37209"/>
    <w:rsid w:val="00D45627"/>
    <w:rsid w:val="00D51A98"/>
    <w:rsid w:val="00D61220"/>
    <w:rsid w:val="00D74358"/>
    <w:rsid w:val="00D75604"/>
    <w:rsid w:val="00D77FAD"/>
    <w:rsid w:val="00D81206"/>
    <w:rsid w:val="00D90DB0"/>
    <w:rsid w:val="00DA0836"/>
    <w:rsid w:val="00DA2631"/>
    <w:rsid w:val="00DB6611"/>
    <w:rsid w:val="00DB66EB"/>
    <w:rsid w:val="00DC7B3D"/>
    <w:rsid w:val="00DD295B"/>
    <w:rsid w:val="00DD74F5"/>
    <w:rsid w:val="00DD7535"/>
    <w:rsid w:val="00DE2B7D"/>
    <w:rsid w:val="00DF215F"/>
    <w:rsid w:val="00E00922"/>
    <w:rsid w:val="00E048C1"/>
    <w:rsid w:val="00E0537B"/>
    <w:rsid w:val="00E05855"/>
    <w:rsid w:val="00E1438C"/>
    <w:rsid w:val="00E22B8E"/>
    <w:rsid w:val="00E31129"/>
    <w:rsid w:val="00E41C80"/>
    <w:rsid w:val="00E433D1"/>
    <w:rsid w:val="00E45249"/>
    <w:rsid w:val="00E517C5"/>
    <w:rsid w:val="00E56B59"/>
    <w:rsid w:val="00E61ABD"/>
    <w:rsid w:val="00E647DB"/>
    <w:rsid w:val="00E85AC8"/>
    <w:rsid w:val="00EA7D37"/>
    <w:rsid w:val="00ED3552"/>
    <w:rsid w:val="00ED4838"/>
    <w:rsid w:val="00ED7C48"/>
    <w:rsid w:val="00EE35A7"/>
    <w:rsid w:val="00EE487C"/>
    <w:rsid w:val="00EF47B8"/>
    <w:rsid w:val="00F01E76"/>
    <w:rsid w:val="00F03710"/>
    <w:rsid w:val="00F05579"/>
    <w:rsid w:val="00F073F6"/>
    <w:rsid w:val="00F1205A"/>
    <w:rsid w:val="00F15294"/>
    <w:rsid w:val="00F169FA"/>
    <w:rsid w:val="00F30CBA"/>
    <w:rsid w:val="00F30EA6"/>
    <w:rsid w:val="00F36C4F"/>
    <w:rsid w:val="00F37FF2"/>
    <w:rsid w:val="00F40982"/>
    <w:rsid w:val="00F66847"/>
    <w:rsid w:val="00F67706"/>
    <w:rsid w:val="00F6777E"/>
    <w:rsid w:val="00F70D27"/>
    <w:rsid w:val="00F72FCC"/>
    <w:rsid w:val="00F74182"/>
    <w:rsid w:val="00F8776C"/>
    <w:rsid w:val="00F941E4"/>
    <w:rsid w:val="00FA3411"/>
    <w:rsid w:val="00FA43FF"/>
    <w:rsid w:val="00FA57C1"/>
    <w:rsid w:val="00FC00CE"/>
    <w:rsid w:val="00FD1764"/>
    <w:rsid w:val="00FD272A"/>
    <w:rsid w:val="00FD3643"/>
    <w:rsid w:val="00FD612C"/>
    <w:rsid w:val="00FE1BD7"/>
    <w:rsid w:val="00FE2A5A"/>
    <w:rsid w:val="00FE2B33"/>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721D"/>
  <w15:docId w15:val="{28D83921-8EBA-48FD-BE5E-230D4CF45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9"/>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Judul2">
    <w:name w:val="heading 2"/>
    <w:basedOn w:val="Normal"/>
    <w:next w:val="Normal"/>
    <w:link w:val="Judul2KAR"/>
    <w:uiPriority w:val="9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Judul4">
    <w:name w:val="heading 4"/>
    <w:basedOn w:val="Normal"/>
    <w:next w:val="Normal"/>
    <w:link w:val="Judul4KAR"/>
    <w:uiPriority w:val="99"/>
    <w:qFormat/>
    <w:rsid w:val="000B094B"/>
    <w:pPr>
      <w:tabs>
        <w:tab w:val="num" w:pos="720"/>
        <w:tab w:val="left" w:pos="821"/>
      </w:tabs>
      <w:spacing w:before="40" w:after="40" w:line="240" w:lineRule="auto"/>
      <w:ind w:firstLine="504"/>
      <w:jc w:val="both"/>
      <w:outlineLvl w:val="3"/>
    </w:pPr>
    <w:rPr>
      <w:rFonts w:ascii="Times New Roman" w:eastAsia="MS Mincho" w:hAnsi="Times New Roman" w:cs="Times New Roman"/>
      <w:i/>
      <w:iCs/>
      <w:noProof/>
      <w:sz w:val="20"/>
      <w:szCs w:val="20"/>
      <w:lang w:val="en-US"/>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KAR"/>
    <w:uiPriority w:val="99"/>
    <w:unhideWhenUsed/>
    <w:qFormat/>
    <w:rsid w:val="008E64A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8E64A2"/>
  </w:style>
  <w:style w:type="paragraph" w:styleId="Footer">
    <w:name w:val="footer"/>
    <w:basedOn w:val="Normal"/>
    <w:link w:val="FooterKAR"/>
    <w:uiPriority w:val="99"/>
    <w:unhideWhenUsed/>
    <w:qFormat/>
    <w:rsid w:val="008E64A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8E64A2"/>
  </w:style>
  <w:style w:type="paragraph" w:styleId="TeksCatatanKaki">
    <w:name w:val="footnote text"/>
    <w:aliases w:val="Char"/>
    <w:basedOn w:val="Normal"/>
    <w:link w:val="TeksCatatanKakiKAR"/>
    <w:uiPriority w:val="99"/>
    <w:unhideWhenUsed/>
    <w:qFormat/>
    <w:rsid w:val="00056E9C"/>
    <w:pPr>
      <w:spacing w:after="0" w:line="240" w:lineRule="auto"/>
    </w:pPr>
    <w:rPr>
      <w:sz w:val="20"/>
      <w:szCs w:val="20"/>
    </w:rPr>
  </w:style>
  <w:style w:type="character" w:customStyle="1" w:styleId="TeksCatatanKakiKAR">
    <w:name w:val="Teks Catatan Kaki KAR"/>
    <w:aliases w:val="Char KAR"/>
    <w:basedOn w:val="FontParagrafDefault"/>
    <w:link w:val="TeksCatatanKaki"/>
    <w:uiPriority w:val="99"/>
    <w:qFormat/>
    <w:rsid w:val="00056E9C"/>
    <w:rPr>
      <w:sz w:val="20"/>
      <w:szCs w:val="20"/>
    </w:rPr>
  </w:style>
  <w:style w:type="character" w:styleId="ReferensiCatatanKaki">
    <w:name w:val="footnote reference"/>
    <w:basedOn w:val="FontParagrafDefault"/>
    <w:uiPriority w:val="99"/>
    <w:unhideWhenUsed/>
    <w:qFormat/>
    <w:rsid w:val="00056E9C"/>
    <w:rPr>
      <w:vertAlign w:val="superscript"/>
    </w:rPr>
  </w:style>
  <w:style w:type="character" w:customStyle="1" w:styleId="UnresolvedMention1">
    <w:name w:val="Unresolved Mention1"/>
    <w:basedOn w:val="FontParagrafDefault"/>
    <w:uiPriority w:val="99"/>
    <w:semiHidden/>
    <w:unhideWhenUsed/>
    <w:qFormat/>
    <w:rsid w:val="00BF0A78"/>
    <w:rPr>
      <w:color w:val="605E5C"/>
      <w:shd w:val="clear" w:color="auto" w:fill="E1DFDD"/>
    </w:rPr>
  </w:style>
  <w:style w:type="character" w:customStyle="1" w:styleId="Judul1KAR">
    <w:name w:val="Judul 1 KAR"/>
    <w:basedOn w:val="FontParagrafDefault"/>
    <w:link w:val="Judul1"/>
    <w:qFormat/>
    <w:rsid w:val="008858AA"/>
    <w:rPr>
      <w:rFonts w:ascii="Times New Roman" w:eastAsia="Times New Roman" w:hAnsi="Times New Roman" w:cs="Arial"/>
      <w:b/>
      <w:bCs/>
      <w:kern w:val="32"/>
      <w:sz w:val="24"/>
      <w:szCs w:val="32"/>
      <w:lang w:val="en-GB" w:eastAsia="en-GB"/>
    </w:rPr>
  </w:style>
  <w:style w:type="character" w:customStyle="1" w:styleId="Judul2KAR">
    <w:name w:val="Judul 2 KAR"/>
    <w:basedOn w:val="FontParagrafDefault"/>
    <w:link w:val="Judul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Judul3KAR">
    <w:name w:val="Judul 3 KAR"/>
    <w:basedOn w:val="FontParagrafDefault"/>
    <w:link w:val="Judul3"/>
    <w:uiPriority w:val="9"/>
    <w:qFormat/>
    <w:rsid w:val="008858AA"/>
    <w:rPr>
      <w:rFonts w:asciiTheme="majorHAnsi" w:eastAsiaTheme="majorEastAsia" w:hAnsiTheme="majorHAnsi" w:cstheme="majorBidi"/>
      <w:color w:val="1F3763" w:themeColor="accent1" w:themeShade="7F"/>
      <w:sz w:val="24"/>
      <w:szCs w:val="24"/>
    </w:rPr>
  </w:style>
  <w:style w:type="character" w:styleId="Kuat">
    <w:name w:val="Strong"/>
    <w:basedOn w:val="FontParagrafDefaul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DaftarParagraf">
    <w:name w:val="List Paragraph"/>
    <w:aliases w:val="Body of text,List Paragraph1,Body of text+1,Body of text+2,Body of text+3,List Paragraph11,Medium Grid 1 - Accent 21,Skripsi,Colorful List - Accent 11,HEADING 1,Body of text1,Body of textCxSp,rpp3,KEPALA 3,kepala 1,KEPALA 31"/>
    <w:basedOn w:val="Normal"/>
    <w:link w:val="DaftarParagrafKAR"/>
    <w:uiPriority w:val="34"/>
    <w:qFormat/>
    <w:rsid w:val="00966B3D"/>
    <w:pPr>
      <w:spacing w:after="200" w:line="276" w:lineRule="auto"/>
      <w:ind w:left="720"/>
      <w:contextualSpacing/>
    </w:pPr>
    <w:rPr>
      <w:rFonts w:eastAsiaTheme="minorEastAsia" w:cs="Arial"/>
      <w:lang w:val="id-ID"/>
    </w:rPr>
  </w:style>
  <w:style w:type="character" w:styleId="ReferensiKomentar">
    <w:name w:val="annotation reference"/>
    <w:basedOn w:val="FontParagrafDefault"/>
    <w:uiPriority w:val="99"/>
    <w:semiHidden/>
    <w:unhideWhenUsed/>
    <w:qFormat/>
    <w:rsid w:val="00366DA9"/>
    <w:rPr>
      <w:sz w:val="16"/>
      <w:szCs w:val="16"/>
    </w:rPr>
  </w:style>
  <w:style w:type="paragraph" w:styleId="TeksKomentar">
    <w:name w:val="annotation text"/>
    <w:basedOn w:val="Normal"/>
    <w:link w:val="TeksKomentarKAR"/>
    <w:uiPriority w:val="99"/>
    <w:unhideWhenUsed/>
    <w:qFormat/>
    <w:rsid w:val="00366DA9"/>
    <w:pPr>
      <w:spacing w:line="240" w:lineRule="auto"/>
    </w:pPr>
    <w:rPr>
      <w:sz w:val="20"/>
      <w:szCs w:val="20"/>
    </w:rPr>
  </w:style>
  <w:style w:type="character" w:customStyle="1" w:styleId="TeksKomentarKAR">
    <w:name w:val="Teks Komentar KAR"/>
    <w:basedOn w:val="FontParagrafDefault"/>
    <w:link w:val="TeksKomentar"/>
    <w:uiPriority w:val="99"/>
    <w:qFormat/>
    <w:rsid w:val="00366DA9"/>
    <w:rPr>
      <w:sz w:val="20"/>
      <w:szCs w:val="20"/>
    </w:rPr>
  </w:style>
  <w:style w:type="paragraph" w:styleId="SubjekKomentar">
    <w:name w:val="annotation subject"/>
    <w:basedOn w:val="TeksKomentar"/>
    <w:next w:val="TeksKomentar"/>
    <w:link w:val="SubjekKomentarKAR"/>
    <w:uiPriority w:val="99"/>
    <w:semiHidden/>
    <w:unhideWhenUsed/>
    <w:qFormat/>
    <w:rsid w:val="00366DA9"/>
    <w:rPr>
      <w:b/>
      <w:bCs/>
    </w:rPr>
  </w:style>
  <w:style w:type="character" w:customStyle="1" w:styleId="SubjekKomentarKAR">
    <w:name w:val="Subjek Komentar KAR"/>
    <w:basedOn w:val="TeksKomentarKAR"/>
    <w:link w:val="SubjekKomentar"/>
    <w:uiPriority w:val="99"/>
    <w:semiHidden/>
    <w:qFormat/>
    <w:rsid w:val="00366DA9"/>
    <w:rPr>
      <w:b/>
      <w:bCs/>
      <w:sz w:val="20"/>
      <w:szCs w:val="20"/>
    </w:rPr>
  </w:style>
  <w:style w:type="paragraph" w:styleId="TeksBalon">
    <w:name w:val="Balloon Text"/>
    <w:basedOn w:val="Normal"/>
    <w:link w:val="TeksBalonKAR"/>
    <w:uiPriority w:val="99"/>
    <w:semiHidden/>
    <w:unhideWhenUsed/>
    <w:qFormat/>
    <w:rsid w:val="00366DA9"/>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qFormat/>
    <w:rsid w:val="00366DA9"/>
    <w:rPr>
      <w:rFonts w:ascii="Segoe UI" w:hAnsi="Segoe UI" w:cs="Segoe UI"/>
      <w:sz w:val="18"/>
      <w:szCs w:val="18"/>
    </w:rPr>
  </w:style>
  <w:style w:type="character" w:customStyle="1" w:styleId="tlid-translation">
    <w:name w:val="tlid-translation"/>
    <w:basedOn w:val="FontParagrafDefault"/>
    <w:rsid w:val="007E0F04"/>
  </w:style>
  <w:style w:type="table" w:customStyle="1" w:styleId="TabelBiasa21">
    <w:name w:val="Tabel Biasa 21"/>
    <w:basedOn w:val="Tabel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eteranga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FontParagrafDefault"/>
    <w:uiPriority w:val="99"/>
    <w:semiHidden/>
    <w:unhideWhenUsed/>
    <w:rsid w:val="005C4902"/>
    <w:rPr>
      <w:color w:val="605E5C"/>
      <w:shd w:val="clear" w:color="auto" w:fill="E1DFDD"/>
    </w:rPr>
  </w:style>
  <w:style w:type="character" w:customStyle="1" w:styleId="UnresolvedMention3">
    <w:name w:val="Unresolved Mention3"/>
    <w:basedOn w:val="FontParagrafDefaul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TeksIsi">
    <w:name w:val="Body Text"/>
    <w:basedOn w:val="Normal"/>
    <w:link w:val="TeksIsiK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TeksIsiKAR">
    <w:name w:val="Teks Isi KAR"/>
    <w:basedOn w:val="FontParagrafDefault"/>
    <w:link w:val="TeksIsi"/>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FontParagrafDefault"/>
    <w:rsid w:val="0061136D"/>
  </w:style>
  <w:style w:type="character" w:customStyle="1" w:styleId="kw">
    <w:name w:val="kw"/>
    <w:basedOn w:val="FontParagrafDefault"/>
    <w:rsid w:val="0061136D"/>
  </w:style>
  <w:style w:type="character" w:customStyle="1" w:styleId="rc">
    <w:name w:val="rc"/>
    <w:basedOn w:val="FontParagrafDefault"/>
    <w:rsid w:val="0061136D"/>
  </w:style>
  <w:style w:type="character" w:customStyle="1" w:styleId="st">
    <w:name w:val="st"/>
    <w:basedOn w:val="FontParagrafDefault"/>
    <w:rsid w:val="0061136D"/>
  </w:style>
  <w:style w:type="character" w:customStyle="1" w:styleId="SebutanYangBelumTerselesaikan1">
    <w:name w:val="Sebutan Yang Belum Terselesaikan1"/>
    <w:basedOn w:val="FontParagrafDefault"/>
    <w:uiPriority w:val="99"/>
    <w:semiHidden/>
    <w:unhideWhenUsed/>
    <w:rsid w:val="00887B61"/>
    <w:rPr>
      <w:color w:val="605E5C"/>
      <w:shd w:val="clear" w:color="auto" w:fill="E1DFDD"/>
    </w:rPr>
  </w:style>
  <w:style w:type="table" w:styleId="KisiTabel">
    <w:name w:val="Table Grid"/>
    <w:basedOn w:val="TabelNormal"/>
    <w:uiPriority w:val="3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nTeksIsi3">
    <w:name w:val="Body Text Indent 3"/>
    <w:basedOn w:val="Normal"/>
    <w:link w:val="IndenTeksIsi3KAR"/>
    <w:uiPriority w:val="99"/>
    <w:semiHidden/>
    <w:unhideWhenUsed/>
    <w:rsid w:val="0048254D"/>
    <w:pPr>
      <w:spacing w:after="120"/>
      <w:ind w:left="283"/>
    </w:pPr>
    <w:rPr>
      <w:sz w:val="16"/>
      <w:szCs w:val="16"/>
    </w:rPr>
  </w:style>
  <w:style w:type="character" w:customStyle="1" w:styleId="IndenTeksIsi3KAR">
    <w:name w:val="Inden Teks Isi 3 KAR"/>
    <w:basedOn w:val="FontParagrafDefault"/>
    <w:link w:val="IndenTeksIsi3"/>
    <w:uiPriority w:val="99"/>
    <w:semiHidden/>
    <w:rsid w:val="0048254D"/>
    <w:rPr>
      <w:sz w:val="16"/>
      <w:szCs w:val="16"/>
    </w:rPr>
  </w:style>
  <w:style w:type="character" w:customStyle="1" w:styleId="DaftarParagrafKAR">
    <w:name w:val="Daftar Paragraf KAR"/>
    <w:aliases w:val="Body of text KAR,List Paragraph1 KAR,Body of text+1 KAR,Body of text+2 KAR,Body of text+3 KAR,List Paragraph11 KAR,Medium Grid 1 - Accent 21 KAR,Skripsi KAR,Colorful List - Accent 11 KAR,HEADING 1 KAR,Body of text1 KAR,rpp3 KAR"/>
    <w:basedOn w:val="FontParagrafDefault"/>
    <w:link w:val="DaftarParagraf"/>
    <w:uiPriority w:val="34"/>
    <w:qFormat/>
    <w:locked/>
    <w:rsid w:val="00C37B1B"/>
    <w:rPr>
      <w:rFonts w:eastAsiaTheme="minorEastAsia" w:cs="Arial"/>
      <w:lang w:val="id-ID"/>
    </w:rPr>
  </w:style>
  <w:style w:type="paragraph" w:styleId="TidakAdaSpasi">
    <w:name w:val="No Spacing"/>
    <w:link w:val="TidakAdaSpasiKAR"/>
    <w:uiPriority w:val="1"/>
    <w:qFormat/>
    <w:rsid w:val="00C37B1B"/>
    <w:pPr>
      <w:spacing w:after="0" w:line="240" w:lineRule="auto"/>
    </w:pPr>
    <w:rPr>
      <w:rFonts w:eastAsiaTheme="minorEastAsia"/>
      <w:lang w:val="id-ID" w:eastAsia="id-ID"/>
    </w:rPr>
  </w:style>
  <w:style w:type="paragraph" w:styleId="HTMLSudahDiformat">
    <w:name w:val="HTML Preformatted"/>
    <w:basedOn w:val="Normal"/>
    <w:link w:val="HTMLSudahDiformatK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SudahDiformatKAR">
    <w:name w:val="HTML Sudah Diformat KAR"/>
    <w:basedOn w:val="FontParagrafDefault"/>
    <w:link w:val="HTMLSudahDiformat"/>
    <w:uiPriority w:val="99"/>
    <w:rsid w:val="00C37B1B"/>
    <w:rPr>
      <w:rFonts w:ascii="Courier New" w:eastAsia="Times New Roman" w:hAnsi="Courier New" w:cs="Courier New"/>
      <w:sz w:val="20"/>
      <w:szCs w:val="20"/>
      <w:lang w:val="en-US"/>
    </w:rPr>
  </w:style>
  <w:style w:type="table" w:customStyle="1" w:styleId="TabelBiasa41">
    <w:name w:val="Tabel Biasa 41"/>
    <w:basedOn w:val="Tabel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elNormal"/>
    <w:next w:val="KisiTabel"/>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dakAdaSpasiKAR">
    <w:name w:val="Tidak Ada Spasi KAR"/>
    <w:link w:val="TidakAdaSpasi"/>
    <w:uiPriority w:val="1"/>
    <w:locked/>
    <w:rsid w:val="00B7027E"/>
    <w:rPr>
      <w:rFonts w:eastAsiaTheme="minorEastAsia"/>
      <w:lang w:val="id-ID" w:eastAsia="id-ID"/>
    </w:rPr>
  </w:style>
  <w:style w:type="paragraph" w:customStyle="1" w:styleId="Alishlah24HEading4">
    <w:name w:val="Alishlah_2.4 HEading4"/>
    <w:basedOn w:val="Judul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Judul3KAR"/>
    <w:link w:val="Alishlah24HEading4"/>
    <w:rsid w:val="002B31FD"/>
    <w:rPr>
      <w:rFonts w:ascii="Palatino Linotype" w:eastAsiaTheme="majorEastAsia" w:hAnsi="Palatino Linotype" w:cs="Times New Roman"/>
      <w:i/>
      <w:color w:val="1F3763" w:themeColor="accent1" w:themeShade="7F"/>
      <w:sz w:val="20"/>
      <w:szCs w:val="20"/>
    </w:rPr>
  </w:style>
  <w:style w:type="paragraph" w:customStyle="1" w:styleId="root-block-node">
    <w:name w:val="root-block-node"/>
    <w:basedOn w:val="Normal"/>
    <w:rsid w:val="00465B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ue-complex-underline">
    <w:name w:val="blue-complex-underline"/>
    <w:basedOn w:val="FontParagrafDefault"/>
    <w:rsid w:val="00465B35"/>
  </w:style>
  <w:style w:type="character" w:customStyle="1" w:styleId="Judul4KAR">
    <w:name w:val="Judul 4 KAR"/>
    <w:basedOn w:val="FontParagrafDefault"/>
    <w:link w:val="Judul4"/>
    <w:uiPriority w:val="99"/>
    <w:rsid w:val="000B094B"/>
    <w:rPr>
      <w:rFonts w:ascii="Times New Roman" w:eastAsia="MS Mincho" w:hAnsi="Times New Roman" w:cs="Times New Roman"/>
      <w:i/>
      <w:iCs/>
      <w:noProof/>
      <w:sz w:val="20"/>
      <w:szCs w:val="20"/>
      <w:lang w:val="en-US"/>
    </w:rPr>
  </w:style>
  <w:style w:type="paragraph" w:customStyle="1" w:styleId="figurecaption">
    <w:name w:val="figure caption"/>
    <w:rsid w:val="000B094B"/>
    <w:pPr>
      <w:numPr>
        <w:numId w:val="29"/>
      </w:numPr>
      <w:tabs>
        <w:tab w:val="left" w:pos="533"/>
      </w:tabs>
      <w:spacing w:before="80" w:after="200" w:line="240" w:lineRule="auto"/>
      <w:jc w:val="center"/>
    </w:pPr>
    <w:rPr>
      <w:rFonts w:ascii="Times New Roman" w:eastAsia="Times New Roman" w:hAnsi="Times New Roman" w:cs="Times New Roman"/>
      <w:noProof/>
      <w:sz w:val="20"/>
      <w:szCs w:val="16"/>
      <w:lang w:val="en-US"/>
    </w:rPr>
  </w:style>
  <w:style w:type="paragraph" w:customStyle="1" w:styleId="Author">
    <w:name w:val="Author"/>
    <w:next w:val="Normal"/>
    <w:rsid w:val="00A604EE"/>
    <w:pPr>
      <w:keepNext/>
      <w:suppressAutoHyphens/>
      <w:spacing w:line="300" w:lineRule="exact"/>
      <w:ind w:right="2"/>
      <w:jc w:val="center"/>
    </w:pPr>
    <w:rPr>
      <w:rFonts w:ascii="Times New Roman" w:hAnsi="Times New Roman" w:cs="Times New Roman"/>
      <w:noProof/>
      <w:lang w:val="en-US"/>
    </w:rPr>
  </w:style>
  <w:style w:type="character" w:styleId="SebutanYangBelumTerselesaikan">
    <w:name w:val="Unresolved Mention"/>
    <w:basedOn w:val="FontParagrafDefault"/>
    <w:uiPriority w:val="99"/>
    <w:semiHidden/>
    <w:unhideWhenUsed/>
    <w:rsid w:val="00A604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930">
      <w:bodyDiv w:val="1"/>
      <w:marLeft w:val="0"/>
      <w:marRight w:val="0"/>
      <w:marTop w:val="0"/>
      <w:marBottom w:val="0"/>
      <w:divBdr>
        <w:top w:val="none" w:sz="0" w:space="0" w:color="auto"/>
        <w:left w:val="none" w:sz="0" w:space="0" w:color="auto"/>
        <w:bottom w:val="none" w:sz="0" w:space="0" w:color="auto"/>
        <w:right w:val="none" w:sz="0" w:space="0" w:color="auto"/>
      </w:divBdr>
    </w:div>
    <w:div w:id="5905933">
      <w:bodyDiv w:val="1"/>
      <w:marLeft w:val="0"/>
      <w:marRight w:val="0"/>
      <w:marTop w:val="0"/>
      <w:marBottom w:val="0"/>
      <w:divBdr>
        <w:top w:val="none" w:sz="0" w:space="0" w:color="auto"/>
        <w:left w:val="none" w:sz="0" w:space="0" w:color="auto"/>
        <w:bottom w:val="none" w:sz="0" w:space="0" w:color="auto"/>
        <w:right w:val="none" w:sz="0" w:space="0" w:color="auto"/>
      </w:divBdr>
    </w:div>
    <w:div w:id="24261113">
      <w:bodyDiv w:val="1"/>
      <w:marLeft w:val="0"/>
      <w:marRight w:val="0"/>
      <w:marTop w:val="0"/>
      <w:marBottom w:val="0"/>
      <w:divBdr>
        <w:top w:val="none" w:sz="0" w:space="0" w:color="auto"/>
        <w:left w:val="none" w:sz="0" w:space="0" w:color="auto"/>
        <w:bottom w:val="none" w:sz="0" w:space="0" w:color="auto"/>
        <w:right w:val="none" w:sz="0" w:space="0" w:color="auto"/>
      </w:divBdr>
    </w:div>
    <w:div w:id="68574787">
      <w:bodyDiv w:val="1"/>
      <w:marLeft w:val="0"/>
      <w:marRight w:val="0"/>
      <w:marTop w:val="0"/>
      <w:marBottom w:val="0"/>
      <w:divBdr>
        <w:top w:val="none" w:sz="0" w:space="0" w:color="auto"/>
        <w:left w:val="none" w:sz="0" w:space="0" w:color="auto"/>
        <w:bottom w:val="none" w:sz="0" w:space="0" w:color="auto"/>
        <w:right w:val="none" w:sz="0" w:space="0" w:color="auto"/>
      </w:divBdr>
    </w:div>
    <w:div w:id="75983306">
      <w:bodyDiv w:val="1"/>
      <w:marLeft w:val="0"/>
      <w:marRight w:val="0"/>
      <w:marTop w:val="0"/>
      <w:marBottom w:val="0"/>
      <w:divBdr>
        <w:top w:val="none" w:sz="0" w:space="0" w:color="auto"/>
        <w:left w:val="none" w:sz="0" w:space="0" w:color="auto"/>
        <w:bottom w:val="none" w:sz="0" w:space="0" w:color="auto"/>
        <w:right w:val="none" w:sz="0" w:space="0" w:color="auto"/>
      </w:divBdr>
    </w:div>
    <w:div w:id="84036587">
      <w:bodyDiv w:val="1"/>
      <w:marLeft w:val="0"/>
      <w:marRight w:val="0"/>
      <w:marTop w:val="0"/>
      <w:marBottom w:val="0"/>
      <w:divBdr>
        <w:top w:val="none" w:sz="0" w:space="0" w:color="auto"/>
        <w:left w:val="none" w:sz="0" w:space="0" w:color="auto"/>
        <w:bottom w:val="none" w:sz="0" w:space="0" w:color="auto"/>
        <w:right w:val="none" w:sz="0" w:space="0" w:color="auto"/>
      </w:divBdr>
    </w:div>
    <w:div w:id="102580530">
      <w:bodyDiv w:val="1"/>
      <w:marLeft w:val="0"/>
      <w:marRight w:val="0"/>
      <w:marTop w:val="0"/>
      <w:marBottom w:val="0"/>
      <w:divBdr>
        <w:top w:val="none" w:sz="0" w:space="0" w:color="auto"/>
        <w:left w:val="none" w:sz="0" w:space="0" w:color="auto"/>
        <w:bottom w:val="none" w:sz="0" w:space="0" w:color="auto"/>
        <w:right w:val="none" w:sz="0" w:space="0" w:color="auto"/>
      </w:divBdr>
    </w:div>
    <w:div w:id="128015839">
      <w:bodyDiv w:val="1"/>
      <w:marLeft w:val="0"/>
      <w:marRight w:val="0"/>
      <w:marTop w:val="0"/>
      <w:marBottom w:val="0"/>
      <w:divBdr>
        <w:top w:val="none" w:sz="0" w:space="0" w:color="auto"/>
        <w:left w:val="none" w:sz="0" w:space="0" w:color="auto"/>
        <w:bottom w:val="none" w:sz="0" w:space="0" w:color="auto"/>
        <w:right w:val="none" w:sz="0" w:space="0" w:color="auto"/>
      </w:divBdr>
    </w:div>
    <w:div w:id="134496911">
      <w:bodyDiv w:val="1"/>
      <w:marLeft w:val="0"/>
      <w:marRight w:val="0"/>
      <w:marTop w:val="0"/>
      <w:marBottom w:val="0"/>
      <w:divBdr>
        <w:top w:val="none" w:sz="0" w:space="0" w:color="auto"/>
        <w:left w:val="none" w:sz="0" w:space="0" w:color="auto"/>
        <w:bottom w:val="none" w:sz="0" w:space="0" w:color="auto"/>
        <w:right w:val="none" w:sz="0" w:space="0" w:color="auto"/>
      </w:divBdr>
    </w:div>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192504092">
      <w:bodyDiv w:val="1"/>
      <w:marLeft w:val="0"/>
      <w:marRight w:val="0"/>
      <w:marTop w:val="0"/>
      <w:marBottom w:val="0"/>
      <w:divBdr>
        <w:top w:val="none" w:sz="0" w:space="0" w:color="auto"/>
        <w:left w:val="none" w:sz="0" w:space="0" w:color="auto"/>
        <w:bottom w:val="none" w:sz="0" w:space="0" w:color="auto"/>
        <w:right w:val="none" w:sz="0" w:space="0" w:color="auto"/>
      </w:divBdr>
    </w:div>
    <w:div w:id="259534081">
      <w:bodyDiv w:val="1"/>
      <w:marLeft w:val="0"/>
      <w:marRight w:val="0"/>
      <w:marTop w:val="0"/>
      <w:marBottom w:val="0"/>
      <w:divBdr>
        <w:top w:val="none" w:sz="0" w:space="0" w:color="auto"/>
        <w:left w:val="none" w:sz="0" w:space="0" w:color="auto"/>
        <w:bottom w:val="none" w:sz="0" w:space="0" w:color="auto"/>
        <w:right w:val="none" w:sz="0" w:space="0" w:color="auto"/>
      </w:divBdr>
    </w:div>
    <w:div w:id="288050357">
      <w:bodyDiv w:val="1"/>
      <w:marLeft w:val="0"/>
      <w:marRight w:val="0"/>
      <w:marTop w:val="0"/>
      <w:marBottom w:val="0"/>
      <w:divBdr>
        <w:top w:val="none" w:sz="0" w:space="0" w:color="auto"/>
        <w:left w:val="none" w:sz="0" w:space="0" w:color="auto"/>
        <w:bottom w:val="none" w:sz="0" w:space="0" w:color="auto"/>
        <w:right w:val="none" w:sz="0" w:space="0" w:color="auto"/>
      </w:divBdr>
    </w:div>
    <w:div w:id="309133763">
      <w:bodyDiv w:val="1"/>
      <w:marLeft w:val="0"/>
      <w:marRight w:val="0"/>
      <w:marTop w:val="0"/>
      <w:marBottom w:val="0"/>
      <w:divBdr>
        <w:top w:val="none" w:sz="0" w:space="0" w:color="auto"/>
        <w:left w:val="none" w:sz="0" w:space="0" w:color="auto"/>
        <w:bottom w:val="none" w:sz="0" w:space="0" w:color="auto"/>
        <w:right w:val="none" w:sz="0" w:space="0" w:color="auto"/>
      </w:divBdr>
    </w:div>
    <w:div w:id="311757405">
      <w:bodyDiv w:val="1"/>
      <w:marLeft w:val="0"/>
      <w:marRight w:val="0"/>
      <w:marTop w:val="0"/>
      <w:marBottom w:val="0"/>
      <w:divBdr>
        <w:top w:val="none" w:sz="0" w:space="0" w:color="auto"/>
        <w:left w:val="none" w:sz="0" w:space="0" w:color="auto"/>
        <w:bottom w:val="none" w:sz="0" w:space="0" w:color="auto"/>
        <w:right w:val="none" w:sz="0" w:space="0" w:color="auto"/>
      </w:divBdr>
    </w:div>
    <w:div w:id="327946006">
      <w:bodyDiv w:val="1"/>
      <w:marLeft w:val="0"/>
      <w:marRight w:val="0"/>
      <w:marTop w:val="0"/>
      <w:marBottom w:val="0"/>
      <w:divBdr>
        <w:top w:val="none" w:sz="0" w:space="0" w:color="auto"/>
        <w:left w:val="none" w:sz="0" w:space="0" w:color="auto"/>
        <w:bottom w:val="none" w:sz="0" w:space="0" w:color="auto"/>
        <w:right w:val="none" w:sz="0" w:space="0" w:color="auto"/>
      </w:divBdr>
    </w:div>
    <w:div w:id="351146997">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79061549">
      <w:bodyDiv w:val="1"/>
      <w:marLeft w:val="0"/>
      <w:marRight w:val="0"/>
      <w:marTop w:val="0"/>
      <w:marBottom w:val="0"/>
      <w:divBdr>
        <w:top w:val="none" w:sz="0" w:space="0" w:color="auto"/>
        <w:left w:val="none" w:sz="0" w:space="0" w:color="auto"/>
        <w:bottom w:val="none" w:sz="0" w:space="0" w:color="auto"/>
        <w:right w:val="none" w:sz="0" w:space="0" w:color="auto"/>
      </w:divBdr>
    </w:div>
    <w:div w:id="393891935">
      <w:bodyDiv w:val="1"/>
      <w:marLeft w:val="0"/>
      <w:marRight w:val="0"/>
      <w:marTop w:val="0"/>
      <w:marBottom w:val="0"/>
      <w:divBdr>
        <w:top w:val="none" w:sz="0" w:space="0" w:color="auto"/>
        <w:left w:val="none" w:sz="0" w:space="0" w:color="auto"/>
        <w:bottom w:val="none" w:sz="0" w:space="0" w:color="auto"/>
        <w:right w:val="none" w:sz="0" w:space="0" w:color="auto"/>
      </w:divBdr>
    </w:div>
    <w:div w:id="398478734">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26081630">
      <w:bodyDiv w:val="1"/>
      <w:marLeft w:val="0"/>
      <w:marRight w:val="0"/>
      <w:marTop w:val="0"/>
      <w:marBottom w:val="0"/>
      <w:divBdr>
        <w:top w:val="none" w:sz="0" w:space="0" w:color="auto"/>
        <w:left w:val="none" w:sz="0" w:space="0" w:color="auto"/>
        <w:bottom w:val="none" w:sz="0" w:space="0" w:color="auto"/>
        <w:right w:val="none" w:sz="0" w:space="0" w:color="auto"/>
      </w:divBdr>
    </w:div>
    <w:div w:id="480002139">
      <w:bodyDiv w:val="1"/>
      <w:marLeft w:val="0"/>
      <w:marRight w:val="0"/>
      <w:marTop w:val="0"/>
      <w:marBottom w:val="0"/>
      <w:divBdr>
        <w:top w:val="none" w:sz="0" w:space="0" w:color="auto"/>
        <w:left w:val="none" w:sz="0" w:space="0" w:color="auto"/>
        <w:bottom w:val="none" w:sz="0" w:space="0" w:color="auto"/>
        <w:right w:val="none" w:sz="0" w:space="0" w:color="auto"/>
      </w:divBdr>
    </w:div>
    <w:div w:id="480738431">
      <w:bodyDiv w:val="1"/>
      <w:marLeft w:val="0"/>
      <w:marRight w:val="0"/>
      <w:marTop w:val="0"/>
      <w:marBottom w:val="0"/>
      <w:divBdr>
        <w:top w:val="none" w:sz="0" w:space="0" w:color="auto"/>
        <w:left w:val="none" w:sz="0" w:space="0" w:color="auto"/>
        <w:bottom w:val="none" w:sz="0" w:space="0" w:color="auto"/>
        <w:right w:val="none" w:sz="0" w:space="0" w:color="auto"/>
      </w:divBdr>
    </w:div>
    <w:div w:id="533423121">
      <w:bodyDiv w:val="1"/>
      <w:marLeft w:val="0"/>
      <w:marRight w:val="0"/>
      <w:marTop w:val="0"/>
      <w:marBottom w:val="0"/>
      <w:divBdr>
        <w:top w:val="none" w:sz="0" w:space="0" w:color="auto"/>
        <w:left w:val="none" w:sz="0" w:space="0" w:color="auto"/>
        <w:bottom w:val="none" w:sz="0" w:space="0" w:color="auto"/>
        <w:right w:val="none" w:sz="0" w:space="0" w:color="auto"/>
      </w:divBdr>
    </w:div>
    <w:div w:id="541939517">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594944840">
      <w:bodyDiv w:val="1"/>
      <w:marLeft w:val="0"/>
      <w:marRight w:val="0"/>
      <w:marTop w:val="0"/>
      <w:marBottom w:val="0"/>
      <w:divBdr>
        <w:top w:val="none" w:sz="0" w:space="0" w:color="auto"/>
        <w:left w:val="none" w:sz="0" w:space="0" w:color="auto"/>
        <w:bottom w:val="none" w:sz="0" w:space="0" w:color="auto"/>
        <w:right w:val="none" w:sz="0" w:space="0" w:color="auto"/>
      </w:divBdr>
    </w:div>
    <w:div w:id="687634186">
      <w:bodyDiv w:val="1"/>
      <w:marLeft w:val="0"/>
      <w:marRight w:val="0"/>
      <w:marTop w:val="0"/>
      <w:marBottom w:val="0"/>
      <w:divBdr>
        <w:top w:val="none" w:sz="0" w:space="0" w:color="auto"/>
        <w:left w:val="none" w:sz="0" w:space="0" w:color="auto"/>
        <w:bottom w:val="none" w:sz="0" w:space="0" w:color="auto"/>
        <w:right w:val="none" w:sz="0" w:space="0" w:color="auto"/>
      </w:divBdr>
    </w:div>
    <w:div w:id="688214931">
      <w:bodyDiv w:val="1"/>
      <w:marLeft w:val="0"/>
      <w:marRight w:val="0"/>
      <w:marTop w:val="0"/>
      <w:marBottom w:val="0"/>
      <w:divBdr>
        <w:top w:val="none" w:sz="0" w:space="0" w:color="auto"/>
        <w:left w:val="none" w:sz="0" w:space="0" w:color="auto"/>
        <w:bottom w:val="none" w:sz="0" w:space="0" w:color="auto"/>
        <w:right w:val="none" w:sz="0" w:space="0" w:color="auto"/>
      </w:divBdr>
    </w:div>
    <w:div w:id="741412968">
      <w:bodyDiv w:val="1"/>
      <w:marLeft w:val="0"/>
      <w:marRight w:val="0"/>
      <w:marTop w:val="0"/>
      <w:marBottom w:val="0"/>
      <w:divBdr>
        <w:top w:val="none" w:sz="0" w:space="0" w:color="auto"/>
        <w:left w:val="none" w:sz="0" w:space="0" w:color="auto"/>
        <w:bottom w:val="none" w:sz="0" w:space="0" w:color="auto"/>
        <w:right w:val="none" w:sz="0" w:space="0" w:color="auto"/>
      </w:divBdr>
    </w:div>
    <w:div w:id="755635350">
      <w:bodyDiv w:val="1"/>
      <w:marLeft w:val="0"/>
      <w:marRight w:val="0"/>
      <w:marTop w:val="0"/>
      <w:marBottom w:val="0"/>
      <w:divBdr>
        <w:top w:val="none" w:sz="0" w:space="0" w:color="auto"/>
        <w:left w:val="none" w:sz="0" w:space="0" w:color="auto"/>
        <w:bottom w:val="none" w:sz="0" w:space="0" w:color="auto"/>
        <w:right w:val="none" w:sz="0" w:space="0" w:color="auto"/>
      </w:divBdr>
    </w:div>
    <w:div w:id="829713989">
      <w:bodyDiv w:val="1"/>
      <w:marLeft w:val="0"/>
      <w:marRight w:val="0"/>
      <w:marTop w:val="0"/>
      <w:marBottom w:val="0"/>
      <w:divBdr>
        <w:top w:val="none" w:sz="0" w:space="0" w:color="auto"/>
        <w:left w:val="none" w:sz="0" w:space="0" w:color="auto"/>
        <w:bottom w:val="none" w:sz="0" w:space="0" w:color="auto"/>
        <w:right w:val="none" w:sz="0" w:space="0" w:color="auto"/>
      </w:divBdr>
    </w:div>
    <w:div w:id="927228444">
      <w:bodyDiv w:val="1"/>
      <w:marLeft w:val="0"/>
      <w:marRight w:val="0"/>
      <w:marTop w:val="0"/>
      <w:marBottom w:val="0"/>
      <w:divBdr>
        <w:top w:val="none" w:sz="0" w:space="0" w:color="auto"/>
        <w:left w:val="none" w:sz="0" w:space="0" w:color="auto"/>
        <w:bottom w:val="none" w:sz="0" w:space="0" w:color="auto"/>
        <w:right w:val="none" w:sz="0" w:space="0" w:color="auto"/>
      </w:divBdr>
    </w:div>
    <w:div w:id="952053088">
      <w:bodyDiv w:val="1"/>
      <w:marLeft w:val="0"/>
      <w:marRight w:val="0"/>
      <w:marTop w:val="0"/>
      <w:marBottom w:val="0"/>
      <w:divBdr>
        <w:top w:val="none" w:sz="0" w:space="0" w:color="auto"/>
        <w:left w:val="none" w:sz="0" w:space="0" w:color="auto"/>
        <w:bottom w:val="none" w:sz="0" w:space="0" w:color="auto"/>
        <w:right w:val="none" w:sz="0" w:space="0" w:color="auto"/>
      </w:divBdr>
    </w:div>
    <w:div w:id="964655320">
      <w:bodyDiv w:val="1"/>
      <w:marLeft w:val="0"/>
      <w:marRight w:val="0"/>
      <w:marTop w:val="0"/>
      <w:marBottom w:val="0"/>
      <w:divBdr>
        <w:top w:val="none" w:sz="0" w:space="0" w:color="auto"/>
        <w:left w:val="none" w:sz="0" w:space="0" w:color="auto"/>
        <w:bottom w:val="none" w:sz="0" w:space="0" w:color="auto"/>
        <w:right w:val="none" w:sz="0" w:space="0" w:color="auto"/>
      </w:divBdr>
    </w:div>
    <w:div w:id="973026059">
      <w:bodyDiv w:val="1"/>
      <w:marLeft w:val="0"/>
      <w:marRight w:val="0"/>
      <w:marTop w:val="0"/>
      <w:marBottom w:val="0"/>
      <w:divBdr>
        <w:top w:val="none" w:sz="0" w:space="0" w:color="auto"/>
        <w:left w:val="none" w:sz="0" w:space="0" w:color="auto"/>
        <w:bottom w:val="none" w:sz="0" w:space="0" w:color="auto"/>
        <w:right w:val="none" w:sz="0" w:space="0" w:color="auto"/>
      </w:divBdr>
    </w:div>
    <w:div w:id="1000431302">
      <w:bodyDiv w:val="1"/>
      <w:marLeft w:val="0"/>
      <w:marRight w:val="0"/>
      <w:marTop w:val="0"/>
      <w:marBottom w:val="0"/>
      <w:divBdr>
        <w:top w:val="none" w:sz="0" w:space="0" w:color="auto"/>
        <w:left w:val="none" w:sz="0" w:space="0" w:color="auto"/>
        <w:bottom w:val="none" w:sz="0" w:space="0" w:color="auto"/>
        <w:right w:val="none" w:sz="0" w:space="0" w:color="auto"/>
      </w:divBdr>
    </w:div>
    <w:div w:id="1023094455">
      <w:bodyDiv w:val="1"/>
      <w:marLeft w:val="0"/>
      <w:marRight w:val="0"/>
      <w:marTop w:val="0"/>
      <w:marBottom w:val="0"/>
      <w:divBdr>
        <w:top w:val="none" w:sz="0" w:space="0" w:color="auto"/>
        <w:left w:val="none" w:sz="0" w:space="0" w:color="auto"/>
        <w:bottom w:val="none" w:sz="0" w:space="0" w:color="auto"/>
        <w:right w:val="none" w:sz="0" w:space="0" w:color="auto"/>
      </w:divBdr>
    </w:div>
    <w:div w:id="1054083756">
      <w:bodyDiv w:val="1"/>
      <w:marLeft w:val="0"/>
      <w:marRight w:val="0"/>
      <w:marTop w:val="0"/>
      <w:marBottom w:val="0"/>
      <w:divBdr>
        <w:top w:val="none" w:sz="0" w:space="0" w:color="auto"/>
        <w:left w:val="none" w:sz="0" w:space="0" w:color="auto"/>
        <w:bottom w:val="none" w:sz="0" w:space="0" w:color="auto"/>
        <w:right w:val="none" w:sz="0" w:space="0" w:color="auto"/>
      </w:divBdr>
    </w:div>
    <w:div w:id="1139032351">
      <w:bodyDiv w:val="1"/>
      <w:marLeft w:val="0"/>
      <w:marRight w:val="0"/>
      <w:marTop w:val="0"/>
      <w:marBottom w:val="0"/>
      <w:divBdr>
        <w:top w:val="none" w:sz="0" w:space="0" w:color="auto"/>
        <w:left w:val="none" w:sz="0" w:space="0" w:color="auto"/>
        <w:bottom w:val="none" w:sz="0" w:space="0" w:color="auto"/>
        <w:right w:val="none" w:sz="0" w:space="0" w:color="auto"/>
      </w:divBdr>
    </w:div>
    <w:div w:id="1191260361">
      <w:bodyDiv w:val="1"/>
      <w:marLeft w:val="0"/>
      <w:marRight w:val="0"/>
      <w:marTop w:val="0"/>
      <w:marBottom w:val="0"/>
      <w:divBdr>
        <w:top w:val="none" w:sz="0" w:space="0" w:color="auto"/>
        <w:left w:val="none" w:sz="0" w:space="0" w:color="auto"/>
        <w:bottom w:val="none" w:sz="0" w:space="0" w:color="auto"/>
        <w:right w:val="none" w:sz="0" w:space="0" w:color="auto"/>
      </w:divBdr>
    </w:div>
    <w:div w:id="1229074707">
      <w:bodyDiv w:val="1"/>
      <w:marLeft w:val="0"/>
      <w:marRight w:val="0"/>
      <w:marTop w:val="0"/>
      <w:marBottom w:val="0"/>
      <w:divBdr>
        <w:top w:val="none" w:sz="0" w:space="0" w:color="auto"/>
        <w:left w:val="none" w:sz="0" w:space="0" w:color="auto"/>
        <w:bottom w:val="none" w:sz="0" w:space="0" w:color="auto"/>
        <w:right w:val="none" w:sz="0" w:space="0" w:color="auto"/>
      </w:divBdr>
    </w:div>
    <w:div w:id="1231621547">
      <w:bodyDiv w:val="1"/>
      <w:marLeft w:val="0"/>
      <w:marRight w:val="0"/>
      <w:marTop w:val="0"/>
      <w:marBottom w:val="0"/>
      <w:divBdr>
        <w:top w:val="none" w:sz="0" w:space="0" w:color="auto"/>
        <w:left w:val="none" w:sz="0" w:space="0" w:color="auto"/>
        <w:bottom w:val="none" w:sz="0" w:space="0" w:color="auto"/>
        <w:right w:val="none" w:sz="0" w:space="0" w:color="auto"/>
      </w:divBdr>
    </w:div>
    <w:div w:id="1245263561">
      <w:bodyDiv w:val="1"/>
      <w:marLeft w:val="0"/>
      <w:marRight w:val="0"/>
      <w:marTop w:val="0"/>
      <w:marBottom w:val="0"/>
      <w:divBdr>
        <w:top w:val="none" w:sz="0" w:space="0" w:color="auto"/>
        <w:left w:val="none" w:sz="0" w:space="0" w:color="auto"/>
        <w:bottom w:val="none" w:sz="0" w:space="0" w:color="auto"/>
        <w:right w:val="none" w:sz="0" w:space="0" w:color="auto"/>
      </w:divBdr>
    </w:div>
    <w:div w:id="1307785526">
      <w:bodyDiv w:val="1"/>
      <w:marLeft w:val="0"/>
      <w:marRight w:val="0"/>
      <w:marTop w:val="0"/>
      <w:marBottom w:val="0"/>
      <w:divBdr>
        <w:top w:val="none" w:sz="0" w:space="0" w:color="auto"/>
        <w:left w:val="none" w:sz="0" w:space="0" w:color="auto"/>
        <w:bottom w:val="none" w:sz="0" w:space="0" w:color="auto"/>
        <w:right w:val="none" w:sz="0" w:space="0" w:color="auto"/>
      </w:divBdr>
    </w:div>
    <w:div w:id="1370181085">
      <w:bodyDiv w:val="1"/>
      <w:marLeft w:val="0"/>
      <w:marRight w:val="0"/>
      <w:marTop w:val="0"/>
      <w:marBottom w:val="0"/>
      <w:divBdr>
        <w:top w:val="none" w:sz="0" w:space="0" w:color="auto"/>
        <w:left w:val="none" w:sz="0" w:space="0" w:color="auto"/>
        <w:bottom w:val="none" w:sz="0" w:space="0" w:color="auto"/>
        <w:right w:val="none" w:sz="0" w:space="0" w:color="auto"/>
      </w:divBdr>
    </w:div>
    <w:div w:id="1404330065">
      <w:bodyDiv w:val="1"/>
      <w:marLeft w:val="0"/>
      <w:marRight w:val="0"/>
      <w:marTop w:val="0"/>
      <w:marBottom w:val="0"/>
      <w:divBdr>
        <w:top w:val="none" w:sz="0" w:space="0" w:color="auto"/>
        <w:left w:val="none" w:sz="0" w:space="0" w:color="auto"/>
        <w:bottom w:val="none" w:sz="0" w:space="0" w:color="auto"/>
        <w:right w:val="none" w:sz="0" w:space="0" w:color="auto"/>
      </w:divBdr>
    </w:div>
    <w:div w:id="1448619204">
      <w:bodyDiv w:val="1"/>
      <w:marLeft w:val="0"/>
      <w:marRight w:val="0"/>
      <w:marTop w:val="0"/>
      <w:marBottom w:val="0"/>
      <w:divBdr>
        <w:top w:val="none" w:sz="0" w:space="0" w:color="auto"/>
        <w:left w:val="none" w:sz="0" w:space="0" w:color="auto"/>
        <w:bottom w:val="none" w:sz="0" w:space="0" w:color="auto"/>
        <w:right w:val="none" w:sz="0" w:space="0" w:color="auto"/>
      </w:divBdr>
    </w:div>
    <w:div w:id="1517692517">
      <w:bodyDiv w:val="1"/>
      <w:marLeft w:val="0"/>
      <w:marRight w:val="0"/>
      <w:marTop w:val="0"/>
      <w:marBottom w:val="0"/>
      <w:divBdr>
        <w:top w:val="none" w:sz="0" w:space="0" w:color="auto"/>
        <w:left w:val="none" w:sz="0" w:space="0" w:color="auto"/>
        <w:bottom w:val="none" w:sz="0" w:space="0" w:color="auto"/>
        <w:right w:val="none" w:sz="0" w:space="0" w:color="auto"/>
      </w:divBdr>
    </w:div>
    <w:div w:id="1538659023">
      <w:bodyDiv w:val="1"/>
      <w:marLeft w:val="0"/>
      <w:marRight w:val="0"/>
      <w:marTop w:val="0"/>
      <w:marBottom w:val="0"/>
      <w:divBdr>
        <w:top w:val="none" w:sz="0" w:space="0" w:color="auto"/>
        <w:left w:val="none" w:sz="0" w:space="0" w:color="auto"/>
        <w:bottom w:val="none" w:sz="0" w:space="0" w:color="auto"/>
        <w:right w:val="none" w:sz="0" w:space="0" w:color="auto"/>
      </w:divBdr>
    </w:div>
    <w:div w:id="1545798225">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73470475">
      <w:bodyDiv w:val="1"/>
      <w:marLeft w:val="0"/>
      <w:marRight w:val="0"/>
      <w:marTop w:val="0"/>
      <w:marBottom w:val="0"/>
      <w:divBdr>
        <w:top w:val="none" w:sz="0" w:space="0" w:color="auto"/>
        <w:left w:val="none" w:sz="0" w:space="0" w:color="auto"/>
        <w:bottom w:val="none" w:sz="0" w:space="0" w:color="auto"/>
        <w:right w:val="none" w:sz="0" w:space="0" w:color="auto"/>
      </w:divBdr>
    </w:div>
    <w:div w:id="1578708415">
      <w:bodyDiv w:val="1"/>
      <w:marLeft w:val="0"/>
      <w:marRight w:val="0"/>
      <w:marTop w:val="0"/>
      <w:marBottom w:val="0"/>
      <w:divBdr>
        <w:top w:val="none" w:sz="0" w:space="0" w:color="auto"/>
        <w:left w:val="none" w:sz="0" w:space="0" w:color="auto"/>
        <w:bottom w:val="none" w:sz="0" w:space="0" w:color="auto"/>
        <w:right w:val="none" w:sz="0" w:space="0" w:color="auto"/>
      </w:divBdr>
    </w:div>
    <w:div w:id="1587572468">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617101831">
      <w:bodyDiv w:val="1"/>
      <w:marLeft w:val="0"/>
      <w:marRight w:val="0"/>
      <w:marTop w:val="0"/>
      <w:marBottom w:val="0"/>
      <w:divBdr>
        <w:top w:val="none" w:sz="0" w:space="0" w:color="auto"/>
        <w:left w:val="none" w:sz="0" w:space="0" w:color="auto"/>
        <w:bottom w:val="none" w:sz="0" w:space="0" w:color="auto"/>
        <w:right w:val="none" w:sz="0" w:space="0" w:color="auto"/>
      </w:divBdr>
    </w:div>
    <w:div w:id="1620986770">
      <w:bodyDiv w:val="1"/>
      <w:marLeft w:val="0"/>
      <w:marRight w:val="0"/>
      <w:marTop w:val="0"/>
      <w:marBottom w:val="0"/>
      <w:divBdr>
        <w:top w:val="none" w:sz="0" w:space="0" w:color="auto"/>
        <w:left w:val="none" w:sz="0" w:space="0" w:color="auto"/>
        <w:bottom w:val="none" w:sz="0" w:space="0" w:color="auto"/>
        <w:right w:val="none" w:sz="0" w:space="0" w:color="auto"/>
      </w:divBdr>
    </w:div>
    <w:div w:id="1630285314">
      <w:bodyDiv w:val="1"/>
      <w:marLeft w:val="0"/>
      <w:marRight w:val="0"/>
      <w:marTop w:val="0"/>
      <w:marBottom w:val="0"/>
      <w:divBdr>
        <w:top w:val="none" w:sz="0" w:space="0" w:color="auto"/>
        <w:left w:val="none" w:sz="0" w:space="0" w:color="auto"/>
        <w:bottom w:val="none" w:sz="0" w:space="0" w:color="auto"/>
        <w:right w:val="none" w:sz="0" w:space="0" w:color="auto"/>
      </w:divBdr>
    </w:div>
    <w:div w:id="1641230278">
      <w:bodyDiv w:val="1"/>
      <w:marLeft w:val="0"/>
      <w:marRight w:val="0"/>
      <w:marTop w:val="0"/>
      <w:marBottom w:val="0"/>
      <w:divBdr>
        <w:top w:val="none" w:sz="0" w:space="0" w:color="auto"/>
        <w:left w:val="none" w:sz="0" w:space="0" w:color="auto"/>
        <w:bottom w:val="none" w:sz="0" w:space="0" w:color="auto"/>
        <w:right w:val="none" w:sz="0" w:space="0" w:color="auto"/>
      </w:divBdr>
    </w:div>
    <w:div w:id="1667973105">
      <w:bodyDiv w:val="1"/>
      <w:marLeft w:val="0"/>
      <w:marRight w:val="0"/>
      <w:marTop w:val="0"/>
      <w:marBottom w:val="0"/>
      <w:divBdr>
        <w:top w:val="none" w:sz="0" w:space="0" w:color="auto"/>
        <w:left w:val="none" w:sz="0" w:space="0" w:color="auto"/>
        <w:bottom w:val="none" w:sz="0" w:space="0" w:color="auto"/>
        <w:right w:val="none" w:sz="0" w:space="0" w:color="auto"/>
      </w:divBdr>
    </w:div>
    <w:div w:id="1684088631">
      <w:bodyDiv w:val="1"/>
      <w:marLeft w:val="0"/>
      <w:marRight w:val="0"/>
      <w:marTop w:val="0"/>
      <w:marBottom w:val="0"/>
      <w:divBdr>
        <w:top w:val="none" w:sz="0" w:space="0" w:color="auto"/>
        <w:left w:val="none" w:sz="0" w:space="0" w:color="auto"/>
        <w:bottom w:val="none" w:sz="0" w:space="0" w:color="auto"/>
        <w:right w:val="none" w:sz="0" w:space="0" w:color="auto"/>
      </w:divBdr>
    </w:div>
    <w:div w:id="1686862280">
      <w:bodyDiv w:val="1"/>
      <w:marLeft w:val="0"/>
      <w:marRight w:val="0"/>
      <w:marTop w:val="0"/>
      <w:marBottom w:val="0"/>
      <w:divBdr>
        <w:top w:val="none" w:sz="0" w:space="0" w:color="auto"/>
        <w:left w:val="none" w:sz="0" w:space="0" w:color="auto"/>
        <w:bottom w:val="none" w:sz="0" w:space="0" w:color="auto"/>
        <w:right w:val="none" w:sz="0" w:space="0" w:color="auto"/>
      </w:divBdr>
    </w:div>
    <w:div w:id="1711034980">
      <w:bodyDiv w:val="1"/>
      <w:marLeft w:val="0"/>
      <w:marRight w:val="0"/>
      <w:marTop w:val="0"/>
      <w:marBottom w:val="0"/>
      <w:divBdr>
        <w:top w:val="none" w:sz="0" w:space="0" w:color="auto"/>
        <w:left w:val="none" w:sz="0" w:space="0" w:color="auto"/>
        <w:bottom w:val="none" w:sz="0" w:space="0" w:color="auto"/>
        <w:right w:val="none" w:sz="0" w:space="0" w:color="auto"/>
      </w:divBdr>
    </w:div>
    <w:div w:id="1724601124">
      <w:bodyDiv w:val="1"/>
      <w:marLeft w:val="0"/>
      <w:marRight w:val="0"/>
      <w:marTop w:val="0"/>
      <w:marBottom w:val="0"/>
      <w:divBdr>
        <w:top w:val="none" w:sz="0" w:space="0" w:color="auto"/>
        <w:left w:val="none" w:sz="0" w:space="0" w:color="auto"/>
        <w:bottom w:val="none" w:sz="0" w:space="0" w:color="auto"/>
        <w:right w:val="none" w:sz="0" w:space="0" w:color="auto"/>
      </w:divBdr>
    </w:div>
    <w:div w:id="1739357138">
      <w:bodyDiv w:val="1"/>
      <w:marLeft w:val="0"/>
      <w:marRight w:val="0"/>
      <w:marTop w:val="0"/>
      <w:marBottom w:val="0"/>
      <w:divBdr>
        <w:top w:val="none" w:sz="0" w:space="0" w:color="auto"/>
        <w:left w:val="none" w:sz="0" w:space="0" w:color="auto"/>
        <w:bottom w:val="none" w:sz="0" w:space="0" w:color="auto"/>
        <w:right w:val="none" w:sz="0" w:space="0" w:color="auto"/>
      </w:divBdr>
    </w:div>
    <w:div w:id="1765490255">
      <w:bodyDiv w:val="1"/>
      <w:marLeft w:val="0"/>
      <w:marRight w:val="0"/>
      <w:marTop w:val="0"/>
      <w:marBottom w:val="0"/>
      <w:divBdr>
        <w:top w:val="none" w:sz="0" w:space="0" w:color="auto"/>
        <w:left w:val="none" w:sz="0" w:space="0" w:color="auto"/>
        <w:bottom w:val="none" w:sz="0" w:space="0" w:color="auto"/>
        <w:right w:val="none" w:sz="0" w:space="0" w:color="auto"/>
      </w:divBdr>
    </w:div>
    <w:div w:id="1814443584">
      <w:bodyDiv w:val="1"/>
      <w:marLeft w:val="0"/>
      <w:marRight w:val="0"/>
      <w:marTop w:val="0"/>
      <w:marBottom w:val="0"/>
      <w:divBdr>
        <w:top w:val="none" w:sz="0" w:space="0" w:color="auto"/>
        <w:left w:val="none" w:sz="0" w:space="0" w:color="auto"/>
        <w:bottom w:val="none" w:sz="0" w:space="0" w:color="auto"/>
        <w:right w:val="none" w:sz="0" w:space="0" w:color="auto"/>
      </w:divBdr>
    </w:div>
    <w:div w:id="1826626432">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859345118">
      <w:bodyDiv w:val="1"/>
      <w:marLeft w:val="0"/>
      <w:marRight w:val="0"/>
      <w:marTop w:val="0"/>
      <w:marBottom w:val="0"/>
      <w:divBdr>
        <w:top w:val="none" w:sz="0" w:space="0" w:color="auto"/>
        <w:left w:val="none" w:sz="0" w:space="0" w:color="auto"/>
        <w:bottom w:val="none" w:sz="0" w:space="0" w:color="auto"/>
        <w:right w:val="none" w:sz="0" w:space="0" w:color="auto"/>
      </w:divBdr>
    </w:div>
    <w:div w:id="1863939201">
      <w:bodyDiv w:val="1"/>
      <w:marLeft w:val="0"/>
      <w:marRight w:val="0"/>
      <w:marTop w:val="0"/>
      <w:marBottom w:val="0"/>
      <w:divBdr>
        <w:top w:val="none" w:sz="0" w:space="0" w:color="auto"/>
        <w:left w:val="none" w:sz="0" w:space="0" w:color="auto"/>
        <w:bottom w:val="none" w:sz="0" w:space="0" w:color="auto"/>
        <w:right w:val="none" w:sz="0" w:space="0" w:color="auto"/>
      </w:divBdr>
    </w:div>
    <w:div w:id="1878934667">
      <w:bodyDiv w:val="1"/>
      <w:marLeft w:val="0"/>
      <w:marRight w:val="0"/>
      <w:marTop w:val="0"/>
      <w:marBottom w:val="0"/>
      <w:divBdr>
        <w:top w:val="none" w:sz="0" w:space="0" w:color="auto"/>
        <w:left w:val="none" w:sz="0" w:space="0" w:color="auto"/>
        <w:bottom w:val="none" w:sz="0" w:space="0" w:color="auto"/>
        <w:right w:val="none" w:sz="0" w:space="0" w:color="auto"/>
      </w:divBdr>
    </w:div>
    <w:div w:id="1910336523">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1980305258">
      <w:bodyDiv w:val="1"/>
      <w:marLeft w:val="0"/>
      <w:marRight w:val="0"/>
      <w:marTop w:val="0"/>
      <w:marBottom w:val="0"/>
      <w:divBdr>
        <w:top w:val="none" w:sz="0" w:space="0" w:color="auto"/>
        <w:left w:val="none" w:sz="0" w:space="0" w:color="auto"/>
        <w:bottom w:val="none" w:sz="0" w:space="0" w:color="auto"/>
        <w:right w:val="none" w:sz="0" w:space="0" w:color="auto"/>
      </w:divBdr>
    </w:div>
    <w:div w:id="2104759535">
      <w:bodyDiv w:val="1"/>
      <w:marLeft w:val="0"/>
      <w:marRight w:val="0"/>
      <w:marTop w:val="0"/>
      <w:marBottom w:val="0"/>
      <w:divBdr>
        <w:top w:val="none" w:sz="0" w:space="0" w:color="auto"/>
        <w:left w:val="none" w:sz="0" w:space="0" w:color="auto"/>
        <w:bottom w:val="none" w:sz="0" w:space="0" w:color="auto"/>
        <w:right w:val="none" w:sz="0" w:space="0" w:color="auto"/>
      </w:divBdr>
    </w:div>
    <w:div w:id="213119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naanumsrg@umnaw.ac.id" TargetMode="External"/><Relationship Id="rId13" Type="http://schemas.openxmlformats.org/officeDocument/2006/relationships/image" Target="media/image1.png"/><Relationship Id="rId18" Type="http://schemas.microsoft.com/office/2007/relationships/hdphoto" Target="media/hdphoto2.wdp"/><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creativecommons.org/licenses/by-nc-sa/4.0/" TargetMode="External"/><Relationship Id="rId17" Type="http://schemas.openxmlformats.org/officeDocument/2006/relationships/image" Target="media/image3.png"/><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fulbahri@umnaw.ac.i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mailto:nurjannahdalimunthe@umnaw.ac.id"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lianbarus@umnaw.ac.id" TargetMode="External"/><Relationship Id="rId14" Type="http://schemas.openxmlformats.org/officeDocument/2006/relationships/hyperlink" Target="mailto:disnaanumsrg@umnaw.ac.id"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Wah20</b:Tag>
    <b:SourceType>JournalArticle</b:SourceType>
    <b:Guid>{760F5ED7-B50E-48EE-9A71-642CE331EBCF}</b:Guid>
    <b:Author>
      <b:Author>
        <b:NameList>
          <b:Person>
            <b:Last>Wahyuni</b:Last>
            <b:First>Fadela</b:First>
            <b:Middle>Septi</b:Middle>
          </b:Person>
          <b:Person>
            <b:Last>Safitri</b:Last>
            <b:First>Sani</b:First>
          </b:Person>
          <b:Person>
            <b:Last>Hudaidah</b:Last>
          </b:Person>
        </b:NameList>
      </b:Author>
    </b:Author>
    <b:Title>Pengembangan Multimedia berbasis Libreoffice Impress pada Tema Prasasti – Prasasti Sriwijaya</b:Title>
    <b:JournalName>Historia: Jurnal Pendidik dan Peneliti Sejarah</b:JournalName>
    <b:Year>2020</b:Year>
    <b:Pages>167-176</b:Pages>
    <b:Volume>3</b:Volume>
    <b:Issue>2</b:Issue>
    <b:DOI>https://doi.org/10.17509/historia.v3i2.23313.</b:DOI>
    <b:RefOrder>26</b:RefOrder>
  </b:Source>
  <b:Source>
    <b:Tag>JPN22</b:Tag>
    <b:SourceType>ElectronicSource</b:SourceType>
    <b:Guid>{74F5322D-7FF7-4ABA-9CA4-A5A16084CD41}</b:Guid>
    <b:Title>Kemendikbudristek: Guru Kreatif Menggunakan Teknologi Memacu Siswa Berkembang</b:Title>
    <b:Year>2022</b:Year>
    <b:Month>Februari</b:Month>
    <b:Day>25</b:Day>
    <b:URL>https://www.jpnn.com/news/kemendikbudristek-guru-kreatif-menggunakan-teknologi-memacu-siswa-berkembang</b:URL>
    <b:Author>
      <b:Author>
        <b:NameList>
          <b:Person>
            <b:Last>JPNN.com</b:Last>
          </b:Person>
        </b:NameList>
      </b:Author>
    </b:Author>
    <b:YearAccessed>2022</b:YearAccessed>
    <b:MonthAccessed>April</b:MonthAccessed>
    <b:DayAccessed>12</b:DayAccessed>
    <b:RefOrder>27</b:RefOrder>
  </b:Source>
  <b:Source>
    <b:Tag>Abd16</b:Tag>
    <b:SourceType>JournalArticle</b:SourceType>
    <b:Guid>{AB44DD3D-2C18-4F4A-BCF5-F6E9FE897316}</b:Guid>
    <b:Title>Pembelajaran dalam Perspektif Kreativitas Guru dalam Pemanfaatan Media Pembelajaran</b:Title>
    <b:Pages>35-49</b:Pages>
    <b:Year>2016</b:Year>
    <b:Author>
      <b:Author>
        <b:NameList>
          <b:Person>
            <b:Last>Abdullah</b:Last>
            <b:First>Ramli</b:First>
          </b:Person>
        </b:NameList>
      </b:Author>
    </b:Author>
    <b:JournalName>Lantanida Journal</b:JournalName>
    <b:Volume>4</b:Volume>
    <b:Issue>1</b:Issue>
    <b:DOI>http://dx.doi.org/10.22373/lj.v4i1.1866</b:DOI>
    <b:RefOrder>28</b:RefOrder>
  </b:Source>
  <b:Source>
    <b:Tag>Kom18</b:Tag>
    <b:SourceType>ElectronicSource</b:SourceType>
    <b:Guid>{D1E9385B-252A-4A0A-85C3-137BED94F47F}</b:Guid>
    <b:Author>
      <b:Author>
        <b:NameList>
          <b:Person>
            <b:Last>Kompas.com</b:Last>
          </b:Person>
        </b:NameList>
      </b:Author>
    </b:Author>
    <b:Title>Teknologi sebagai Alternatif Kreatif Pembelajaran</b:Title>
    <b:Year>2018</b:Year>
    <b:Month>12</b:Month>
    <b:Day>11</b:Day>
    <b:YearAccessed>2022</b:YearAccessed>
    <b:MonthAccessed>12</b:MonthAccessed>
    <b:DayAccessed>April</b:DayAccessed>
    <b:URL>https://edukasi.kompas.com/read/2018/12/11/08542371/teknologi-sebagai-alternatif-kreatif-pembelajaran-siswa?page=all</b:URL>
    <b:RefOrder>29</b:RefOrder>
  </b:Source>
  <b:Source>
    <b:Tag>Sap19</b:Tag>
    <b:SourceType>ConferenceProceedings</b:SourceType>
    <b:Guid>{D6FF7698-2F41-4E55-A8C1-B1541E7CB879}</b:Guid>
    <b:Author>
      <b:Author>
        <b:NameList>
          <b:Person>
            <b:Last>Sapriyah</b:Last>
          </b:Person>
        </b:NameList>
      </b:Author>
    </b:Author>
    <b:Title>Media Pembelajaran dalam Proses Belajar Mengajar</b:Title>
    <b:Year>2019</b:Year>
    <b:Pages>470-477</b:Pages>
    <b:ConferenceName>Prosiding Seminar Nasional Pendidikan FKIP</b:ConferenceName>
    <b:City>Serang</b:City>
    <b:Publisher>Universitas Sultan Ageng Tirtayasa</b:Publisher>
    <b:Volume>2</b:Volume>
    <b:RefOrder>30</b:RefOrder>
  </b:Source>
  <b:Source>
    <b:Tag>Ast21</b:Tag>
    <b:SourceType>JournalArticle</b:SourceType>
    <b:Guid>{B3F5B303-16AE-407A-B574-BE7D3D07FA1C}</b:Guid>
    <b:Author>
      <b:Author>
        <b:NameList>
          <b:Person>
            <b:Last>Astuti</b:Last>
            <b:First>Fuji</b:First>
          </b:Person>
        </b:NameList>
      </b:Author>
    </b:Author>
    <b:Title>Exploring Local Wisdom from YouTube: An Investigation on the Indonesian Higher Education Student's Dance Performance Across Gender</b:Title>
    <b:JournalName>Cakrawala Pendidikan</b:JournalName>
    <b:Year>2021</b:Year>
    <b:Pages>230-241</b:Pages>
    <b:Volume>40</b:Volume>
    <b:Issue>1</b:Issue>
    <b:DOI>10.21831/cp.v40i1.32426</b:DOI>
    <b:RefOrder>31</b:RefOrder>
  </b:Source>
  <b:Source>
    <b:Tag>Fir20</b:Tag>
    <b:SourceType>ConferenceProceedings</b:SourceType>
    <b:Guid>{90A1B73C-2670-4448-A362-07A384764FDA}</b:Guid>
    <b:Title>Media Pembelajaran Berbasis Teknologi sebagai Inovasi Pembelajaran Era Revolusi Industri 4.0</b:Title>
    <b:City>Yogyakarta</b:City>
    <b:Year>2020</b:Year>
    <b:Author>
      <b:Author>
        <b:NameList>
          <b:Person>
            <b:Last>Firmadani</b:Last>
            <b:First>Fifit</b:First>
          </b:Person>
        </b:NameList>
      </b:Author>
    </b:Author>
    <b:Pages>93-97</b:Pages>
    <b:ConferenceName>Prosiding Konferensi Pendidikan Nasional: “Strategi dan Implementasi Pendidikan Karakter pada Era Revolusi Industri 4.0”</b:ConferenceName>
    <b:Publisher>Universitas Mercubuana Yogyakarta</b:Publisher>
    <b:Volume>2</b:Volume>
    <b:RefOrder>32</b:RefOrder>
  </b:Source>
  <b:Source>
    <b:Tag>Niz16</b:Tag>
    <b:SourceType>Book</b:SourceType>
    <b:Guid>{7038539D-F348-4606-A69D-02324CFC5174}</b:Guid>
    <b:Author>
      <b:Author>
        <b:NameList>
          <b:Person>
            <b:Last>Nizwardi</b:Last>
          </b:Person>
          <b:Person>
            <b:Last>Ambiyar</b:Last>
          </b:Person>
        </b:NameList>
      </b:Author>
    </b:Author>
    <b:Title>Media dan Sumber Pembelajaran</b:Title>
    <b:Year>2016</b:Year>
    <b:City>Jakarta</b:City>
    <b:Publisher>Kencana</b:Publisher>
    <b:RefOrder>1</b:RefOrder>
  </b:Source>
  <b:Source>
    <b:Tag>Mif22</b:Tag>
    <b:SourceType>JournalArticle</b:SourceType>
    <b:Guid>{AB7608AB-5C51-40C8-BE1B-F3AE341815C7}</b:Guid>
    <b:Author>
      <b:Author>
        <b:NameList>
          <b:Person>
            <b:Last>Miftah</b:Last>
            <b:First>Mohamad</b:First>
          </b:Person>
          <b:Person>
            <b:Last>Rokhman</b:Last>
            <b:First>Nur</b:First>
          </b:Person>
        </b:NameList>
      </b:Author>
    </b:Author>
    <b:Title>Kriteria Pemilihan dan Prinsip Pemanfaatan Media Pembelajaran Berbasis TIK Sesuai Kebutuhan Peserta Didik</b:Title>
    <b:JournalName>Educenter: Jurnal Ilmiah Pendidikan</b:JournalName>
    <b:Year>2022</b:Year>
    <b:Pages>412-420</b:Pages>
    <b:Volume>1</b:Volume>
    <b:Issue>4</b:Issue>
    <b:RefOrder>33</b:RefOrder>
  </b:Source>
  <b:Source>
    <b:Tag>Per21</b:Tag>
    <b:SourceType>JournalArticle</b:SourceType>
    <b:Guid>{D8AFEA2B-9BC0-46C4-93B6-D21816C91182}</b:Guid>
    <b:Author>
      <b:Author>
        <b:NameList>
          <b:Person>
            <b:Last>Permatasari</b:Last>
            <b:First>Stefanni</b:First>
            <b:Middle>Viga Gracia</b:Middle>
          </b:Person>
          <b:Person>
            <b:Last>Pujayanto</b:Last>
          </b:Person>
          <b:Person>
            <b:Last>Fauzi</b:Last>
            <b:First>Ahmad</b:First>
          </b:Person>
        </b:NameList>
      </b:Author>
    </b:Author>
    <b:Title>Pengembangan E-Modul Interaktif Materi Gelombang Bunyi dan Cahaya Berbasis VAK Learning</b:Title>
    <b:JournalName>Jurnal Materi dan Pembelajaran Fisika</b:JournalName>
    <b:Year>2021</b:Year>
    <b:Pages>102-109</b:Pages>
    <b:Volume>11</b:Volume>
    <b:Issue>2</b:Issue>
    <b:DOI>https://doi.org/10.20961/jmpf.v11i2.49235</b:DOI>
    <b:RefOrder>2</b:RefOrder>
  </b:Source>
  <b:Source>
    <b:Tag>Afi22</b:Tag>
    <b:SourceType>JournalArticle</b:SourceType>
    <b:Guid>{2F4ECA39-E223-45C5-B4D5-85993F59EA1F}</b:Guid>
    <b:Author>
      <b:Author>
        <b:NameList>
          <b:Person>
            <b:Last>Afifah</b:Last>
            <b:First>Nur</b:First>
          </b:Person>
          <b:Person>
            <b:Last>Kurniaman</b:Last>
            <b:First>Otang</b:First>
          </b:Person>
          <b:Person>
            <b:Last>Noviana</b:Last>
            <b:First>Eddy</b:First>
          </b:Person>
        </b:NameList>
      </b:Author>
    </b:Author>
    <b:Title>Pengembangan Media Pembelajaran Interaktif pada Pembelajaran Bahasa Indonesia Kelas III Sekolah Dasar</b:Title>
    <b:JournalName>Jurnal Kiprah Pendidikan</b:JournalName>
    <b:Year>2022</b:Year>
    <b:Pages>33-42</b:Pages>
    <b:Volume>1</b:Volume>
    <b:Issue>1</b:Issue>
    <b:DOI>https://doi.org/10.33578/kpd.v1i1.24</b:DOI>
    <b:RefOrder>3</b:RefOrder>
  </b:Source>
  <b:Source>
    <b:Tag>Ens22</b:Tag>
    <b:SourceType>JournalArticle</b:SourceType>
    <b:Guid>{4C4050AC-4EBA-4661-B8DF-792BEBCA7DD6}</b:Guid>
    <b:Author>
      <b:Author>
        <b:NameList>
          <b:Person>
            <b:Last>Enstein</b:Last>
            <b:First>Jhon</b:First>
          </b:Person>
          <b:Person>
            <b:Last>Bulu</b:Last>
            <b:First>Vera</b:First>
            <b:Middle>Rosalina</b:Middle>
          </b:Person>
          <b:Person>
            <b:Last>Nahak</b:Last>
            <b:First>Roswita</b:First>
            <b:Middle>Lioba</b:Middle>
          </b:Person>
        </b:NameList>
      </b:Author>
    </b:Author>
    <b:Title>Pengembangan Media Pembelajaran Game Edukasi Bilangan Pangkat dan Akar menggunakan Genially</b:Title>
    <b:JournalName>Jurnal Jendela Pendidikan</b:JournalName>
    <b:Year>2022</b:Year>
    <b:Pages>101-109</b:Pages>
    <b:Volume>2</b:Volume>
    <b:Issue>1</b:Issue>
    <b:RefOrder>4</b:RefOrder>
  </b:Source>
  <b:Source>
    <b:Tag>Nim22</b:Tag>
    <b:SourceType>JournalArticle</b:SourceType>
    <b:Guid>{180134CD-5C4D-4C0E-BB25-904BB89CB073}</b:Guid>
    <b:Author>
      <b:Author>
        <b:NameList>
          <b:Person>
            <b:Last>Ni’mah</b:Last>
            <b:First>Nurlaily</b:First>
            <b:Middle>Khoirun</b:Middle>
          </b:Person>
          <b:Person>
            <b:Last>Warsiman</b:Last>
            <b:First>Warsiman</b:First>
          </b:Person>
          <b:Person>
            <b:Last>Hermiati</b:Last>
            <b:First>Titik</b:First>
          </b:Person>
        </b:NameList>
      </b:Author>
    </b:Author>
    <b:Title>Upaya Meningkatkan Minat Belajar Siswa Melalui Media Genially dalam Pembelajaran Daring Bahasa Indonesia pada Siswa Kelas X SMA Negeri 5 Malang</b:Title>
    <b:JournalName>Jurnal Metamorfosa</b:JournalName>
    <b:Year>2022</b:Year>
    <b:Pages>1-10</b:Pages>
    <b:Volume>10</b:Volume>
    <b:Issue>1</b:Issue>
    <b:DOI>https://doi.org/10.46244/metamorfosa.v10i1.1731</b:DOI>
    <b:RefOrder>5</b:RefOrder>
  </b:Source>
  <b:Source>
    <b:Tag>Rat22</b:Tag>
    <b:SourceType>JournalArticle</b:SourceType>
    <b:Guid>{45F3444C-760D-4F1C-A123-9D971ADF834D}</b:Guid>
    <b:Author>
      <b:Author>
        <b:NameList>
          <b:Person>
            <b:Last>Ratniati</b:Last>
          </b:Person>
          <b:Person>
            <b:Last>Harahap</b:Last>
            <b:First>Rofiqoh</b:First>
            <b:Middle>Hasan</b:Middle>
          </b:Person>
        </b:NameList>
      </b:Author>
    </b:Author>
    <b:Title>Pengembangan Media Pembelajaran Fisika Dengan Permainan Ular Tangga Menggunakan Platform Genially Pada Pokok Bahasan Momentum Impuls Di SMAN 1 Badar T.P 2021/2022</b:Title>
    <b:JournalName>Jurnal Penelitian Pendidikan MIPA</b:JournalName>
    <b:Year>2022</b:Year>
    <b:Pages>18-27</b:Pages>
    <b:DOI>https://doi.org/10.32696/jp2mipa.v7i1.1337</b:DOI>
    <b:RefOrder>6</b:RefOrder>
  </b:Source>
  <b:Source>
    <b:Tag>Mun12</b:Tag>
    <b:SourceType>Book</b:SourceType>
    <b:Guid>{422B8BDB-EA82-473E-9D22-5772708EB619}</b:Guid>
    <b:Author>
      <b:Author>
        <b:NameList>
          <b:Person>
            <b:Last>Munir</b:Last>
          </b:Person>
        </b:NameList>
      </b:Author>
    </b:Author>
    <b:Title>Multimedia: Konsep &amp; Aplikasi dalam Pendidikan</b:Title>
    <b:Year>2012</b:Year>
    <b:City>Bandung</b:City>
    <b:Publisher>Penerbit Alfabeta</b:Publisher>
    <b:Pages>3</b:Pages>
    <b:RefOrder>7</b:RefOrder>
  </b:Source>
  <b:Source>
    <b:Tag>Ist17</b:Tag>
    <b:SourceType>JournalArticle</b:SourceType>
    <b:Guid>{5C0662D3-91C6-4F8A-A951-8A8433668310}</b:Guid>
    <b:Author>
      <b:Author>
        <b:NameList>
          <b:Person>
            <b:Last>Istiqlal</b:Last>
            <b:First>Muhammad</b:First>
          </b:Person>
        </b:NameList>
      </b:Author>
    </b:Author>
    <b:Title>Pengembangan Multimedia Interaktif dalam Pembelajaran Matematika</b:Title>
    <b:JournalName>Jurnal Ilmiah Pendidikan Matematika</b:JournalName>
    <b:Year>2017</b:Year>
    <b:Volume>2</b:Volume>
    <b:Issue>1</b:Issue>
    <b:DOI>https://doi.org/10.26877/jipmat.v2i1.1480</b:DOI>
    <b:Pages>43-54</b:Pages>
    <b:RefOrder>8</b:RefOrder>
  </b:Source>
  <b:Source>
    <b:Tag>Wij21</b:Tag>
    <b:SourceType>JournalArticle</b:SourceType>
    <b:Guid>{5CF20A28-02E7-43FA-95E7-CF97EE7BFAFE}</b:Guid>
    <b:Author>
      <b:Author>
        <b:NameList>
          <b:Person>
            <b:Last>Wijaya</b:Last>
            <b:First>Agi</b:First>
            <b:Middle>Ma’ruf</b:Middle>
          </b:Person>
          <b:Person>
            <b:Last>Arifin</b:Last>
            <b:First>Ilfiana</b:First>
            <b:Middle>Firzaq</b:Middle>
          </b:Person>
          <b:Person>
            <b:Last>Badri</b:Last>
            <b:First>Mohamad</b:First>
            <b:Middle>Il</b:Middle>
          </b:Person>
        </b:NameList>
      </b:Author>
    </b:Author>
    <b:Title>MEDIA PEMBELAJARAN DIGITAL SEBAGAI SARANA BELAJAR MANDIRI DI MASA PANDEMI DALAM MATA PELAJARAN SEJARAH</b:Title>
    <b:JournalName>Jurnal Sandhyakala</b:JournalName>
    <b:Year>2021</b:Year>
    <b:Pages>3</b:Pages>
    <b:Month>Juli</b:Month>
    <b:Volume>2</b:Volume>
    <b:Issue>2</b:Issue>
    <b:RefOrder>9</b:RefOrder>
  </b:Source>
  <b:Source>
    <b:Tag>Bas21</b:Tag>
    <b:SourceType>JournalArticle</b:SourceType>
    <b:Guid>{68712CD5-95A1-42D0-B4F8-775AE8522025}</b:Guid>
    <b:Title>Pengembangan Materi Ajar Sejarah Bermuatan Lokal Pada SMAN Di Sumatera Barat</b:Title>
    <b:Year>2021</b:Year>
    <b:Author>
      <b:Author>
        <b:NameList>
          <b:Person>
            <b:Last>Basri</b:Last>
            <b:First>Wahidul</b:First>
          </b:Person>
        </b:NameList>
      </b:Author>
    </b:Author>
    <b:JournalName>Diakronika</b:JournalName>
    <b:Pages>188-198</b:Pages>
    <b:Volume>21</b:Volume>
    <b:Issue>2</b:Issue>
    <b:DOI>https://doi.org/10.24036/diakronika/vol21-iss2/210</b:DOI>
    <b:RefOrder>10</b:RefOrder>
  </b:Source>
  <b:Source>
    <b:Tag>Ram21</b:Tag>
    <b:SourceType>JournalArticle</b:SourceType>
    <b:Guid>{FA227C9E-A482-46EB-BE9F-A1DB3FEB54DB}</b:Guid>
    <b:Author>
      <b:Author>
        <b:NameList>
          <b:Person>
            <b:Last>Ramadha</b:Last>
            <b:First>Fahmi</b:First>
            <b:Middle>Nur</b:Middle>
          </b:Person>
          <b:Person>
            <b:Last>Sunardi</b:Last>
          </b:Person>
          <b:Person>
            <b:Last>Musadad</b:Last>
            <b:First>Akhmad</b:First>
            <b:Middle>Arif</b:Middle>
          </b:Person>
        </b:NameList>
      </b:Author>
    </b:Author>
    <b:Title>Media Katalog Digital Untuk Pembelajaran Sejarah Di Masa Pandemi Covid-19</b:Title>
    <b:JournalName>Diakronika</b:JournalName>
    <b:Year>2021</b:Year>
    <b:Pages>83-100</b:Pages>
    <b:Volume>2</b:Volume>
    <b:Issue>2</b:Issue>
    <b:DOI>https://doi.org/10.24036/diakronika/vol21-iss2/220</b:DOI>
    <b:RefOrder>11</b:RefOrder>
  </b:Source>
  <b:Source>
    <b:Tag>Sis15</b:Tag>
    <b:SourceType>Book</b:SourceType>
    <b:Guid>{78D3ED52-8592-4D4F-B550-152502B86A2F}</b:Guid>
    <b:Title>Manusia dan Sejarah: Sebuah Tinjauan Filosofis</b:Title>
    <b:Year>2015</b:Year>
    <b:Pages>41</b:Pages>
    <b:City>Yogyakarta</b:City>
    <b:Publisher>Garudhawaca</b:Publisher>
    <b:Author>
      <b:Author>
        <b:NameList>
          <b:Person>
            <b:Last>Siska</b:Last>
            <b:First>Yulia</b:First>
          </b:Person>
        </b:NameList>
      </b:Author>
    </b:Author>
    <b:RefOrder>12</b:RefOrder>
  </b:Source>
  <b:Source>
    <b:Tag>Kar18</b:Tag>
    <b:SourceType>JournalArticle</b:SourceType>
    <b:Guid>{64EFAB0A-1F8A-444D-B826-B4A8C565413F}</b:Guid>
    <b:Author>
      <b:Author>
        <b:NameList>
          <b:Person>
            <b:Last>Karima</b:Last>
            <b:First>Elfa</b:First>
            <b:Middle>Michellia</b:Middle>
          </b:Person>
          <b:Person>
            <b:Last>Firza</b:Last>
          </b:Person>
        </b:NameList>
      </b:Author>
    </b:Author>
    <b:Title>Modul Berbasis Green History Untuk Pembelajaran Sejarah Di Sekolah Menengah Atas</b:Title>
    <b:JournalName>Diakronika</b:JournalName>
    <b:Year>2018</b:Year>
    <b:Pages>100-110</b:Pages>
    <b:Volume>18</b:Volume>
    <b:Issue>2</b:Issue>
    <b:DOI>https://doi.org/10.24036/diakronika/vol18-iss2/67</b:DOI>
    <b:RefOrder>13</b:RefOrder>
  </b:Source>
  <b:Source>
    <b:Tag>Dja13</b:Tag>
    <b:SourceType>Book</b:SourceType>
    <b:Guid>{969B9CEA-0F4D-4573-A2EB-F5B146436E64}</b:Guid>
    <b:Author>
      <b:Author>
        <b:NameList>
          <b:Person>
            <b:Last>Djamarah</b:Last>
            <b:First>Syaiful</b:First>
            <b:Middle>Bahri</b:Middle>
          </b:Person>
          <b:Person>
            <b:Last>Zain</b:Last>
            <b:First>Aswan</b:First>
          </b:Person>
        </b:NameList>
      </b:Author>
    </b:Author>
    <b:Title>Strategi Belajar Mengajar</b:Title>
    <b:Year>2013</b:Year>
    <b:Pages>97</b:Pages>
    <b:City>Jakarta</b:City>
    <b:Publisher>Rineka Cipta</b:Publisher>
    <b:RefOrder>14</b:RefOrder>
  </b:Source>
  <b:Source>
    <b:Tag>Sug151</b:Tag>
    <b:SourceType>Book</b:SourceType>
    <b:Guid>{14058BBA-A1B1-4983-BBE2-7CDDDC932CF8}</b:Guid>
    <b:Title>Metode Penelitian &amp; Pengembangan : Researh and Developmen</b:Title>
    <b:Year>2015</b:Year>
    <b:Author>
      <b:Author>
        <b:NameList>
          <b:Person>
            <b:Last>Sugiyono</b:Last>
          </b:Person>
        </b:NameList>
      </b:Author>
    </b:Author>
    <b:City>Bandung</b:City>
    <b:Publisher>Penerbit Alfabet</b:Publisher>
    <b:RefOrder>15</b:RefOrder>
  </b:Source>
  <b:Source>
    <b:Tag>SNa10</b:Tag>
    <b:SourceType>Book</b:SourceType>
    <b:Guid>{9AC2BB99-D476-4B32-8E98-F627F0468AA5}</b:Guid>
    <b:Title>Penelitian dan Pengembangan</b:Title>
    <b:Year>2010</b:Year>
    <b:Pages>164</b:Pages>
    <b:Author>
      <b:Author>
        <b:NameList>
          <b:Person>
            <b:Last>S.</b:Last>
            <b:First>Nana</b:First>
            <b:Middle>Syaodih</b:Middle>
          </b:Person>
        </b:NameList>
      </b:Author>
    </b:Author>
    <b:City>Bandung</b:City>
    <b:Publisher>Remaja Rosdakarya</b:Publisher>
    <b:RefOrder>16</b:RefOrder>
  </b:Source>
  <b:Source>
    <b:Tag>Fac20</b:Tag>
    <b:SourceType>Book</b:SourceType>
    <b:Guid>{3D9CC183-3BF6-41B4-97C7-18C7473F52FD}</b:Guid>
    <b:Title>Penelitian dan Pengembangan Pendidikan Olahraga</b:Title>
    <b:Pages>127</b:Pages>
    <b:Year>2020</b:Year>
    <b:City>Malang</b:City>
    <b:Publisher>Fakultas Ilmu Keolahragaan Universitas Negeri Malang</b:Publisher>
    <b:Author>
      <b:Author>
        <b:NameList>
          <b:Person>
            <b:Last>Fachrozi</b:Last>
            <b:First>Iwan</b:First>
          </b:Person>
          <b:Person>
            <b:Last>Boru</b:Last>
            <b:First>Matheos</b:First>
            <b:Middle>Jerison</b:Middle>
          </b:Person>
          <b:Person>
            <b:Last>Masgumelar</b:Last>
            <b:First>Ndaru</b:First>
            <b:Middle>Kukuh</b:Middle>
          </b:Person>
          <b:Person>
            <b:Last>Lestariningsih</b:Last>
            <b:First>Nurika</b:First>
            <b:Middle>Dyah</b:Middle>
          </b:Person>
          <b:Person>
            <b:Last>Mustafa</b:Last>
            <b:First>Pinton</b:First>
            <b:Middle>Setya</b:Middle>
          </b:Person>
          <b:Person>
            <b:Last>Romadhana</b:Last>
            <b:First>Syaiful</b:First>
          </b:Person>
          <b:Person>
            <b:Last>Prasetyo</b:Last>
            <b:First>Taufan</b:First>
            <b:Middle>Bayu</b:Middle>
          </b:Person>
          <b:Person>
            <b:Last>Victoria</b:Last>
            <b:First>Andif</b:First>
          </b:Person>
          <b:Person>
            <b:Last>Ardiyanto</b:Last>
            <b:First>Dedi</b:First>
          </b:Person>
          <b:Person>
            <b:Last>Rodriquez</b:Last>
            <b:First>Estrado</b:First>
            <b:Middle>Isaci Selestiano</b:Middle>
          </b:Person>
          <b:Person>
            <b:Last>Gusdiyanto</b:Last>
            <b:First>Hafidz</b:First>
          </b:Person>
          <b:Person>
            <b:Last>Maslacha</b:Last>
            <b:First>Hanik</b:First>
          </b:Person>
        </b:NameList>
      </b:Author>
    </b:Author>
    <b:RefOrder>17</b:RefOrder>
  </b:Source>
  <b:Source>
    <b:Tag>Eko09</b:Tag>
    <b:SourceType>Book</b:SourceType>
    <b:Guid>{4CB2E339-F9E8-4F34-B6FF-E0CE0D58DBC5}</b:Guid>
    <b:Author>
      <b:Author>
        <b:NameList>
          <b:Person>
            <b:Last>Widoyoko</b:Last>
            <b:First>Eko</b:First>
            <b:Middle>Putro</b:Middle>
          </b:Person>
        </b:NameList>
      </b:Author>
    </b:Author>
    <b:Title>Evaluasi Program Pembelajaran</b:Title>
    <b:Year>2009</b:Year>
    <b:City>Yogyakarta</b:City>
    <b:Publisher>Pustaka Belajar</b:Publisher>
    <b:RefOrder>18</b:RefOrder>
  </b:Source>
  <b:Source>
    <b:Tag>Nur18</b:Tag>
    <b:SourceType>JournalArticle</b:SourceType>
    <b:Guid>{1C545E94-E052-465B-A774-2738DE2B4ED3}</b:Guid>
    <b:Author>
      <b:Author>
        <b:NameList>
          <b:Person>
            <b:Last>Nurrita</b:Last>
            <b:First>Teni</b:First>
          </b:Person>
        </b:NameList>
      </b:Author>
    </b:Author>
    <b:Title>Pengembangan Media Pembelajaran Untuk Meningkatkan Hasil Belajar Siswa</b:Title>
    <b:JournalName>MISYKAT: Jurnal Ilmu-Ilmu Al-Quran, Hadist, Syari’ah Dan Tarbiyah</b:JournalName>
    <b:Year>2018</b:Year>
    <b:Pages>181</b:Pages>
    <b:Month>Juni</b:Month>
    <b:Volume>3</b:Volume>
    <b:Issue>1</b:Issue>
    <b:RefOrder>19</b:RefOrder>
  </b:Source>
  <b:Source>
    <b:Tag>Swa13</b:Tag>
    <b:SourceType>ElectronicSource</b:SourceType>
    <b:Guid>{A9A6A962-D682-4795-A57C-F05894F505C2}</b:Guid>
    <b:Title>Pengembangan Media Pembelajaran IPS Berbasis Website untuk Siswa SMP Kelas VIII Pokok Bahasan Pengendalian Sosial</b:Title>
    <b:Year>2013</b:Year>
    <b:Author>
      <b:Author>
        <b:NameList>
          <b:Person>
            <b:Last>Swasono</b:Last>
            <b:First>Agus</b:First>
          </b:Person>
        </b:NameList>
      </b:Author>
    </b:Author>
    <b:City>Yogyakarta</b:City>
    <b:Publisher>Universitas Negeri Yogyakarta</b:Publisher>
    <b:PublicationTitle>S1 Thesis</b:PublicationTitle>
    <b:RefOrder>20</b:RefOrder>
  </b:Source>
  <b:Source>
    <b:Tag>Kar14</b:Tag>
    <b:SourceType>ElectronicSource</b:SourceType>
    <b:Guid>{6EE979BA-8CFA-4047-BBF2-3EC26DB4E887}</b:Guid>
    <b:Author>
      <b:Author>
        <b:NameList>
          <b:Person>
            <b:Last>Kartika</b:Last>
            <b:First>Yunita</b:First>
            <b:Middle>Dwi</b:Middle>
          </b:Person>
        </b:NameList>
      </b:Author>
    </b:Author>
    <b:Title>Pengembangan Media Pembelajaran Interaktif Berbasis Macromedia Flash Materi Interaksi Manusia dengan Lingkungan Ekonomi untuk Pembelajaran IPS Kelas VII SMP</b:Title>
    <b:City>Yogyakarta</b:City>
    <b:Year>2014</b:Year>
    <b:PublicationTitle>S1 Thesis</b:PublicationTitle>
    <b:Publisher>Universitas Negeri Yogyakarta</b:Publisher>
    <b:RefOrder>21</b:RefOrder>
  </b:Source>
  <b:Source>
    <b:Tag>Jan16</b:Tag>
    <b:SourceType>JournalArticle</b:SourceType>
    <b:Guid>{991E7D88-0B3A-4322-BF8E-D3A49A344F91}</b:Guid>
    <b:Author>
      <b:Author>
        <b:NameList>
          <b:Person>
            <b:Last>Jannah</b:Last>
            <b:First>Kharimatul</b:First>
          </b:Person>
        </b:NameList>
      </b:Author>
    </b:Author>
    <b:Title>Pengembangan Media Audio Lagu Sejarah Kemerdekaan pada Pembelajaran IPS Kelas V di SDN Minomartani 1</b:Title>
    <b:City>Yogyakarta</b:City>
    <b:Year>2016</b:Year>
    <b:Volume>5</b:Volume>
    <b:JournalName>Jurnal Pendidikan Guru Sekolah Dasar</b:JournalName>
    <b:Pages>124-134</b:Pages>
    <b:Issue>22</b:Issue>
    <b:RefOrder>22</b:RefOrder>
  </b:Source>
  <b:Source>
    <b:Tag>Sad09</b:Tag>
    <b:SourceType>Book</b:SourceType>
    <b:Guid>{9975A344-3A87-4A4C-B5F4-F8B7E5F0B1C0}</b:Guid>
    <b:Title>Media Pendidikan: Pengertian, Pengembangan, dan Pemanfaatannya</b:Title>
    <b:Year>2009</b:Year>
    <b:Pages>56</b:Pages>
    <b:Author>
      <b:Author>
        <b:NameList>
          <b:Person>
            <b:Last>Sadirman</b:Last>
            <b:First>Arief</b:First>
            <b:Middle>S.</b:Middle>
          </b:Person>
        </b:NameList>
      </b:Author>
    </b:Author>
    <b:City>Jakarta</b:City>
    <b:Publisher>Rajawali Press</b:Publisher>
    <b:RefOrder>23</b:RefOrder>
  </b:Source>
  <b:Source>
    <b:Tag>Han15</b:Tag>
    <b:SourceType>JournalArticle</b:SourceType>
    <b:Guid>{6548312A-13D2-43A5-91D8-A66068CCBFDA}</b:Guid>
    <b:Title>Pengembangan Media Pembelajaran Video Suksesi Ekosistem untuk Meningkatkan Motivasi Belajar dan Penguasaan Konsep Suksesi Ekosistem Mahasiswa Biologi</b:Title>
    <b:Year>2015</b:Year>
    <b:Author>
      <b:Author>
        <b:NameList>
          <b:Person>
            <b:Last>Handziko</b:Last>
            <b:First>Rio</b:First>
            <b:Middle>Christy</b:Middle>
          </b:Person>
          <b:Person>
            <b:Last>Suyanto</b:Last>
            <b:First>Slamet</b:First>
          </b:Person>
        </b:NameList>
      </b:Author>
    </b:Author>
    <b:JournalName>Jurnal Inovasi Pendidikan IPA</b:JournalName>
    <b:Pages>212-224</b:Pages>
    <b:Volume>1</b:Volume>
    <b:Issue>2</b:Issue>
    <b:DOI>https://doi.org/10.21831/jipi.v1i2.7508</b:DOI>
    <b:RefOrder>24</b:RefOrder>
  </b:Source>
  <b:Source>
    <b:Tag>Pur10</b:Tag>
    <b:SourceType>JournalArticle</b:SourceType>
    <b:Guid>{ABB63D79-45F5-4991-A47A-F447EDB3146C}</b:Guid>
    <b:Author>
      <b:Author>
        <b:NameList>
          <b:Person>
            <b:Last>Purnama</b:Last>
            <b:First>Sigit</b:First>
          </b:Person>
        </b:NameList>
      </b:Author>
    </b:Author>
    <b:Title>Elemen Warna Dalam Pengembangan Multimedia Pembelajaran Agama Islam</b:Title>
    <b:JournalName>Al-Bidayah</b:JournalName>
    <b:Year>2010</b:Year>
    <b:Pages>113-129</b:Pages>
    <b:Volume>2</b:Volume>
    <b:Issue>1</b:Issue>
    <b:DOI>https://doi.org/10.14421/al-bidayah.v2i1.102</b:DOI>
    <b:RefOrder>25</b:RefOrder>
  </b:Source>
</b:Sources>
</file>

<file path=customXml/itemProps1.xml><?xml version="1.0" encoding="utf-8"?>
<ds:datastoreItem xmlns:ds="http://schemas.openxmlformats.org/officeDocument/2006/customXml" ds:itemID="{10FF2133-F77F-4D82-8FFE-E63988B15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Template-2022.dotx</Template>
  <TotalTime>2</TotalTime>
  <Pages>16</Pages>
  <Words>19206</Words>
  <Characters>109477</Characters>
  <Application>Microsoft Office Word</Application>
  <DocSecurity>0</DocSecurity>
  <Lines>912</Lines>
  <Paragraphs>256</Paragraphs>
  <ScaleCrop>false</ScaleCrop>
  <HeadingPairs>
    <vt:vector size="4" baseType="variant">
      <vt:variant>
        <vt:lpstr>Title</vt:lpstr>
      </vt:variant>
      <vt:variant>
        <vt:i4>1</vt:i4>
      </vt:variant>
      <vt:variant>
        <vt:lpstr>Judul</vt:lpstr>
      </vt:variant>
      <vt:variant>
        <vt:i4>21</vt:i4>
      </vt:variant>
    </vt:vector>
  </HeadingPairs>
  <TitlesOfParts>
    <vt:vector size="22" baseType="lpstr">
      <vt:lpstr/>
      <vt:lpstr>INTRODUCTION</vt:lpstr>
      <vt:lpstr>METHODS </vt:lpstr>
      <vt:lpstr>RESULTS</vt:lpstr>
      <vt:lpstr>Merdeka Campus Curriculum and Lecturer Professionalism in online learning</vt:lpstr>
      <vt:lpstr>In the context of higher education (university), that always learning must be do</vt:lpstr>
      <vt:lpstr>Education is a conscious and planned effort to create a learning atmosphere and </vt:lpstr>
      <vt:lpstr>Lecturers should take part in Character Training and the Applied Approach (AA) P</vt:lpstr>
      <vt:lpstr>It was stated that the lecturer's workload includes main activities, in the form</vt:lpstr>
      <vt:lpstr>In addition, for lecturers, conducting research and publishing research results </vt:lpstr>
      <vt:lpstr>Lecturers are the movers and determinants of the success or failure of an effici</vt:lpstr>
      <vt:lpstr>There are 8 (eight) Merdeka Campus activities that can be carried out, namely st</vt:lpstr>
      <vt:lpstr>Thus, it can be concluded that as professional educators, lecturers are required</vt:lpstr>
      <vt:lpstr>The campus is an institution where all socio-economic cultural institutions are </vt:lpstr>
      <vt:lpstr>The campus mandate is tough. Simply put, it is reflected in three main pillars: </vt:lpstr>
      <vt:lpstr>When the COVID-19 pandemic occurred, lectures and work patterns at Nusantara Mus</vt:lpstr>
      <vt:lpstr>Meanwhile Ridwanto explained referring to the results of meetings of the rectora</vt:lpstr>
      <vt:lpstr>Ridwanto further explained that the implementation of the even-even UAS for the </vt:lpstr>
      <vt:lpstr>Campus Pillar</vt:lpstr>
      <vt:lpstr>These three pillars or also given the term Tri Darma of Higher Education are the</vt:lpstr>
      <vt:lpstr>When President Joko Widodo appointed the Minister of Education and Culture Nadie</vt:lpstr>
      <vt:lpstr>If mapped out further, all the "labels" that are widely attached to campuses (te</vt:lpstr>
    </vt:vector>
  </TitlesOfParts>
  <Company/>
  <LinksUpToDate>false</LinksUpToDate>
  <CharactersWithSpaces>128427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 Zahra Ningsih</dc:creator>
  <cp:keywords/>
  <dc:description/>
  <cp:lastModifiedBy>Tri Zahra Ningsih</cp:lastModifiedBy>
  <cp:revision>2</cp:revision>
  <cp:lastPrinted>2022-03-12T14:54:00Z</cp:lastPrinted>
  <dcterms:created xsi:type="dcterms:W3CDTF">2023-05-11T07:36:00Z</dcterms:created>
  <dcterms:modified xsi:type="dcterms:W3CDTF">2023-05-11T07:36:00Z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http://www.zotero.org/styles/taylor-and-francis-chicago-author-date</vt:lpwstr>
  </property>
  <property fmtid="{D5CDD505-2E9C-101B-9397-08002B2CF9AE}" pid="17" name="Mendeley Recent Style Name 7_1">
    <vt:lpwstr>Taylor &amp; Francis - Chicago Manual of Style (author-date)</vt:lpwstr>
  </property>
  <property fmtid="{D5CDD505-2E9C-101B-9397-08002B2CF9AE}" pid="18" name="Mendeley Recent Style Id 8_1">
    <vt:lpwstr>http://www.zotero.org/styles/universidade-estadual-de-alagoas-abnt</vt:lpwstr>
  </property>
  <property fmtid="{D5CDD505-2E9C-101B-9397-08002B2CF9AE}" pid="19" name="Mendeley Recent Style Name 8_1">
    <vt:lpwstr>Universidade Estadual de Alagoas - ABNT (Portuguese - Brazil)</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3c3eec04-4a94-3296-8c7e-904104923d67</vt:lpwstr>
  </property>
  <property fmtid="{D5CDD505-2E9C-101B-9397-08002B2CF9AE}" pid="24" name="Mendeley Citation Style_1">
    <vt:lpwstr>http://www.zotero.org/styles/apa-6th-edition</vt:lpwstr>
  </property>
</Properties>
</file>