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35675F" w14:textId="77777777" w:rsidR="00092A09" w:rsidRPr="000A0C4D" w:rsidRDefault="007024BD">
      <w:r w:rsidRPr="000A0C4D">
        <w:rPr>
          <w:noProof/>
          <w:lang w:val="en-US"/>
        </w:rPr>
        <mc:AlternateContent>
          <mc:Choice Requires="wps">
            <w:drawing>
              <wp:anchor distT="0" distB="0" distL="114300" distR="114300" simplePos="0" relativeHeight="251658240" behindDoc="0" locked="0" layoutInCell="1" allowOverlap="1" wp14:anchorId="01AED384" wp14:editId="2AF51BD6">
                <wp:simplePos x="0" y="0"/>
                <wp:positionH relativeFrom="column">
                  <wp:posOffset>0</wp:posOffset>
                </wp:positionH>
                <wp:positionV relativeFrom="paragraph">
                  <wp:posOffset>0</wp:posOffset>
                </wp:positionV>
                <wp:extent cx="635000" cy="635000"/>
                <wp:effectExtent l="9525" t="9525" r="12700" b="12700"/>
                <wp:wrapNone/>
                <wp:docPr id="5" name="DeepLBoxSPIDType"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DeepLBoxSPIDType" o:spid="_x0000_s1025" type="#_x0000_t202" style="width:50pt;height:50pt;margin-top:0;margin-left:0;mso-height-percent:0;mso-height-relative:page;mso-width-percent:0;mso-width-relative:page;mso-wrap-distance-bottom:0;mso-wrap-distance-left:9pt;mso-wrap-distance-right:9pt;mso-wrap-distance-top:0;mso-wrap-style:square;position:absolute;visibility:hidden;v-text-anchor:top;z-index:251659264"/>
            </w:pict>
          </mc:Fallback>
        </mc:AlternateContent>
      </w:r>
    </w:p>
    <w:p w14:paraId="60CB4D0D" w14:textId="77777777" w:rsidR="00092A09" w:rsidRPr="000A0C4D" w:rsidRDefault="007024BD">
      <w:pPr>
        <w:pStyle w:val="Alishlah12title"/>
      </w:pPr>
      <w:r w:rsidRPr="000A0C4D">
        <w:rPr>
          <w:rFonts w:eastAsia="Times New Roman" w:cs="Cambria"/>
          <w:color w:val="000000" w:themeColor="text1"/>
        </w:rPr>
        <w:t xml:space="preserve">The </w:t>
      </w:r>
      <w:r w:rsidR="005A26FC" w:rsidRPr="000A0C4D">
        <w:rPr>
          <w:rFonts w:eastAsia="Times New Roman" w:cs="Cambria"/>
          <w:color w:val="000000" w:themeColor="text1"/>
        </w:rPr>
        <w:t xml:space="preserve">Correlation </w:t>
      </w:r>
      <w:r w:rsidRPr="000A0C4D">
        <w:rPr>
          <w:rFonts w:eastAsia="Times New Roman" w:cs="Cambria"/>
          <w:color w:val="000000" w:themeColor="text1"/>
        </w:rPr>
        <w:t xml:space="preserve">between Student Perception and </w:t>
      </w:r>
      <w:r w:rsidR="00171B97" w:rsidRPr="000A0C4D">
        <w:rPr>
          <w:rFonts w:eastAsia="Times New Roman" w:cs="Cambria"/>
          <w:color w:val="000000" w:themeColor="text1"/>
        </w:rPr>
        <w:t xml:space="preserve">Learning </w:t>
      </w:r>
      <w:r w:rsidRPr="000A0C4D">
        <w:rPr>
          <w:rFonts w:eastAsia="Times New Roman" w:cs="Cambria"/>
          <w:color w:val="000000" w:themeColor="text1"/>
        </w:rPr>
        <w:t>Motivation:</w:t>
      </w:r>
      <w:r w:rsidR="00171B97" w:rsidRPr="000A0C4D">
        <w:rPr>
          <w:rFonts w:eastAsia="Times New Roman" w:cs="Cambria"/>
          <w:color w:val="000000" w:themeColor="text1"/>
        </w:rPr>
        <w:t xml:space="preserve"> </w:t>
      </w:r>
      <w:r w:rsidRPr="000A0C4D">
        <w:rPr>
          <w:rFonts w:eastAsia="Times New Roman" w:cs="Cambria"/>
          <w:color w:val="000000" w:themeColor="text1"/>
        </w:rPr>
        <w:t>Blended Learning Strategy</w:t>
      </w:r>
    </w:p>
    <w:p w14:paraId="7257C5A2" w14:textId="77777777" w:rsidR="00092A09" w:rsidRPr="000A0C4D" w:rsidRDefault="007024BD">
      <w:pPr>
        <w:pStyle w:val="Alishlah13authornames"/>
        <w:rPr>
          <w:vertAlign w:val="superscript"/>
          <w:lang w:val="en-GB"/>
        </w:rPr>
      </w:pPr>
      <w:proofErr w:type="gramStart"/>
      <w:r w:rsidRPr="000A0C4D">
        <w:rPr>
          <w:lang w:val="en-GB"/>
        </w:rPr>
        <w:t>Abednego</w:t>
      </w:r>
      <w:r w:rsidR="007E6AA6" w:rsidRPr="000A0C4D">
        <w:rPr>
          <w:vertAlign w:val="superscript"/>
          <w:lang w:val="en-GB"/>
        </w:rPr>
        <w:t>1</w:t>
      </w:r>
      <w:r w:rsidR="000B2AEC" w:rsidRPr="000A0C4D">
        <w:rPr>
          <w:lang w:val="en-GB"/>
        </w:rPr>
        <w:t xml:space="preserve"> ,</w:t>
      </w:r>
      <w:proofErr w:type="gramEnd"/>
      <w:r w:rsidR="000B2AEC" w:rsidRPr="000A0C4D">
        <w:rPr>
          <w:lang w:val="en-GB"/>
        </w:rPr>
        <w:t xml:space="preserve"> Senath Nuniary</w:t>
      </w:r>
      <w:r w:rsidR="000B2AEC" w:rsidRPr="000A0C4D">
        <w:rPr>
          <w:vertAlign w:val="superscript"/>
          <w:lang w:val="en-GB"/>
        </w:rPr>
        <w:t>2</w:t>
      </w:r>
      <w:r w:rsidR="000B2AEC" w:rsidRPr="000A0C4D">
        <w:rPr>
          <w:lang w:val="en-GB"/>
        </w:rPr>
        <w:t xml:space="preserve"> , Emma Rumahlewang</w:t>
      </w:r>
      <w:r w:rsidR="000B2AEC" w:rsidRPr="000A0C4D">
        <w:rPr>
          <w:vertAlign w:val="superscript"/>
          <w:lang w:val="en-GB"/>
        </w:rPr>
        <w:t>3</w:t>
      </w:r>
    </w:p>
    <w:p w14:paraId="2C45D6DB" w14:textId="6718470B" w:rsidR="00092A09" w:rsidRPr="000A0C4D" w:rsidRDefault="007024BD">
      <w:pPr>
        <w:pStyle w:val="Alishlah16affiliation"/>
        <w:jc w:val="both"/>
        <w:rPr>
          <w:color w:val="auto"/>
          <w:lang w:val="en-GB"/>
        </w:rPr>
      </w:pPr>
      <w:r w:rsidRPr="000A0C4D">
        <w:rPr>
          <w:color w:val="auto"/>
          <w:vertAlign w:val="superscript"/>
          <w:lang w:val="en-GB"/>
        </w:rPr>
        <w:t>1</w:t>
      </w:r>
      <w:r w:rsidRPr="000A0C4D">
        <w:rPr>
          <w:color w:val="auto"/>
          <w:lang w:val="en-GB"/>
        </w:rPr>
        <w:tab/>
      </w:r>
      <w:r w:rsidR="0025334C" w:rsidRPr="000A0C4D">
        <w:rPr>
          <w:color w:val="auto"/>
          <w:lang w:val="en-GB"/>
        </w:rPr>
        <w:t>Non-formal</w:t>
      </w:r>
      <w:r w:rsidR="00DC75F3" w:rsidRPr="000A0C4D">
        <w:rPr>
          <w:color w:val="auto"/>
          <w:lang w:val="en-GB"/>
        </w:rPr>
        <w:t xml:space="preserve"> Education Study Program, Faculty of Teacher Training and Education, </w:t>
      </w:r>
      <w:proofErr w:type="spellStart"/>
      <w:r w:rsidR="00DC75F3" w:rsidRPr="000A0C4D">
        <w:rPr>
          <w:color w:val="auto"/>
          <w:lang w:val="en-GB"/>
        </w:rPr>
        <w:t>Pattimura</w:t>
      </w:r>
      <w:proofErr w:type="spellEnd"/>
      <w:r w:rsidR="00DC75F3" w:rsidRPr="000A0C4D">
        <w:rPr>
          <w:color w:val="auto"/>
          <w:lang w:val="en-GB"/>
        </w:rPr>
        <w:t xml:space="preserve"> University, Ambon, Indonesia</w:t>
      </w:r>
      <w:r w:rsidR="000A306E">
        <w:rPr>
          <w:color w:val="auto"/>
          <w:lang w:val="en-GB"/>
        </w:rPr>
        <w:t xml:space="preserve">; e-mail: </w:t>
      </w:r>
      <w:r w:rsidR="00401323" w:rsidRPr="005C77D1">
        <w:rPr>
          <w:color w:val="000000" w:themeColor="text1"/>
          <w:spacing w:val="2"/>
          <w:shd w:val="clear" w:color="auto" w:fill="FFFFFF"/>
        </w:rPr>
        <w:t>abednegodr01@gmail.com</w:t>
      </w:r>
    </w:p>
    <w:p w14:paraId="0E5064E8" w14:textId="4FFC3B13" w:rsidR="00092A09" w:rsidRPr="000A0C4D" w:rsidRDefault="007024BD">
      <w:pPr>
        <w:pStyle w:val="Alishlah16affiliation"/>
        <w:jc w:val="both"/>
        <w:rPr>
          <w:color w:val="auto"/>
          <w:lang w:val="en-GB"/>
        </w:rPr>
      </w:pPr>
      <w:r w:rsidRPr="000A0C4D">
        <w:rPr>
          <w:color w:val="auto"/>
          <w:vertAlign w:val="superscript"/>
          <w:lang w:val="en-GB"/>
        </w:rPr>
        <w:t>2</w:t>
      </w:r>
      <w:r w:rsidRPr="000A0C4D">
        <w:rPr>
          <w:color w:val="auto"/>
          <w:lang w:val="en-GB"/>
        </w:rPr>
        <w:tab/>
      </w:r>
      <w:r w:rsidR="0025334C" w:rsidRPr="000A0C4D">
        <w:rPr>
          <w:color w:val="auto"/>
          <w:lang w:val="en-GB"/>
        </w:rPr>
        <w:t>Non-formal</w:t>
      </w:r>
      <w:r w:rsidR="002F68CE" w:rsidRPr="000A0C4D">
        <w:rPr>
          <w:color w:val="auto"/>
          <w:lang w:val="en-GB"/>
        </w:rPr>
        <w:t xml:space="preserve"> Education Study Program, Faculty of Teacher Training and Education, </w:t>
      </w:r>
      <w:proofErr w:type="spellStart"/>
      <w:r w:rsidR="002F68CE" w:rsidRPr="000A0C4D">
        <w:rPr>
          <w:color w:val="auto"/>
          <w:lang w:val="en-GB"/>
        </w:rPr>
        <w:t>Pattimura</w:t>
      </w:r>
      <w:proofErr w:type="spellEnd"/>
      <w:r w:rsidR="002F68CE" w:rsidRPr="000A0C4D">
        <w:rPr>
          <w:color w:val="auto"/>
          <w:lang w:val="en-GB"/>
        </w:rPr>
        <w:t xml:space="preserve"> University, Ambon, Indonesia</w:t>
      </w:r>
      <w:r w:rsidR="002B31FD" w:rsidRPr="000A0C4D">
        <w:rPr>
          <w:color w:val="auto"/>
          <w:lang w:val="en-GB"/>
        </w:rPr>
        <w:t xml:space="preserve">; </w:t>
      </w:r>
      <w:r w:rsidR="009C6974">
        <w:rPr>
          <w:color w:val="auto"/>
          <w:lang w:val="en-GB"/>
        </w:rPr>
        <w:t>e-mail: sefnathnuniary27@gmail.com</w:t>
      </w:r>
    </w:p>
    <w:p w14:paraId="3D3BC77D" w14:textId="7A2EB4FD" w:rsidR="00092A09" w:rsidRPr="000A0C4D" w:rsidRDefault="007024BD">
      <w:pPr>
        <w:pStyle w:val="Alishlah16affiliation"/>
        <w:jc w:val="both"/>
        <w:rPr>
          <w:color w:val="auto"/>
          <w:lang w:val="en-GB"/>
        </w:rPr>
      </w:pPr>
      <w:r w:rsidRPr="000A0C4D">
        <w:rPr>
          <w:color w:val="auto"/>
          <w:vertAlign w:val="superscript"/>
          <w:lang w:val="en-GB"/>
        </w:rPr>
        <w:t>2</w:t>
      </w:r>
      <w:r w:rsidRPr="000A0C4D">
        <w:rPr>
          <w:color w:val="auto"/>
          <w:lang w:val="en-GB"/>
        </w:rPr>
        <w:tab/>
        <w:t>Department</w:t>
      </w:r>
      <w:r w:rsidR="0025334C" w:rsidRPr="000A0C4D">
        <w:rPr>
          <w:color w:val="auto"/>
          <w:lang w:val="en-GB"/>
        </w:rPr>
        <w:t xml:space="preserve"> </w:t>
      </w:r>
      <w:r w:rsidRPr="000A0C4D">
        <w:rPr>
          <w:color w:val="auto"/>
          <w:lang w:val="en-GB"/>
        </w:rPr>
        <w:t xml:space="preserve">of Physical Education, Sport, Health and Recreation, Faculty of Teacher Training and Education, </w:t>
      </w:r>
      <w:proofErr w:type="spellStart"/>
      <w:r w:rsidRPr="000A0C4D">
        <w:rPr>
          <w:color w:val="auto"/>
          <w:lang w:val="en-GB"/>
        </w:rPr>
        <w:t>Pattimura</w:t>
      </w:r>
      <w:proofErr w:type="spellEnd"/>
      <w:r w:rsidRPr="000A0C4D">
        <w:rPr>
          <w:color w:val="auto"/>
          <w:lang w:val="en-GB"/>
        </w:rPr>
        <w:t xml:space="preserve"> University, Amb</w:t>
      </w:r>
      <w:r w:rsidR="00B46770">
        <w:rPr>
          <w:color w:val="auto"/>
          <w:lang w:val="en-GB"/>
        </w:rPr>
        <w:t xml:space="preserve">on, Indonesia; e-mail: </w:t>
      </w:r>
      <w:r w:rsidR="00B46770" w:rsidRPr="00B46770">
        <w:rPr>
          <w:color w:val="auto"/>
          <w:lang w:val="en-GB"/>
        </w:rPr>
        <w:t>emmarumahlewang02@gmail.com</w:t>
      </w:r>
    </w:p>
    <w:p w14:paraId="3960CA85" w14:textId="77777777" w:rsidR="00784B9B" w:rsidRPr="000A0C4D"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3B03C8" w:rsidRPr="000A0C4D" w14:paraId="187129F1" w14:textId="77777777" w:rsidTr="0048254D">
        <w:trPr>
          <w:jc w:val="center"/>
        </w:trPr>
        <w:tc>
          <w:tcPr>
            <w:tcW w:w="2787" w:type="dxa"/>
            <w:tcBorders>
              <w:top w:val="double" w:sz="4" w:space="0" w:color="auto"/>
              <w:left w:val="nil"/>
              <w:right w:val="nil"/>
            </w:tcBorders>
          </w:tcPr>
          <w:p w14:paraId="51462E6D" w14:textId="77777777" w:rsidR="00092A09" w:rsidRPr="000A0C4D" w:rsidRDefault="007024BD">
            <w:pPr>
              <w:spacing w:before="120"/>
              <w:jc w:val="both"/>
              <w:rPr>
                <w:rFonts w:ascii="Palatino Linotype" w:hAnsi="Palatino Linotype"/>
                <w:b/>
              </w:rPr>
            </w:pPr>
            <w:r w:rsidRPr="000A0C4D">
              <w:rPr>
                <w:rFonts w:ascii="Palatino Linotype" w:hAnsi="Palatino Linotype"/>
                <w:b/>
              </w:rPr>
              <w:t>ARTICLE INFO</w:t>
            </w:r>
          </w:p>
        </w:tc>
        <w:tc>
          <w:tcPr>
            <w:tcW w:w="282" w:type="dxa"/>
            <w:tcBorders>
              <w:top w:val="double" w:sz="4" w:space="0" w:color="auto"/>
              <w:left w:val="nil"/>
              <w:bottom w:val="nil"/>
              <w:right w:val="nil"/>
            </w:tcBorders>
          </w:tcPr>
          <w:p w14:paraId="0C6FEAD6" w14:textId="77777777" w:rsidR="0048254D" w:rsidRPr="000A0C4D" w:rsidRDefault="0048254D" w:rsidP="001C18FA">
            <w:pPr>
              <w:spacing w:before="120"/>
              <w:jc w:val="center"/>
              <w:rPr>
                <w:rFonts w:ascii="Palatino Linotype" w:hAnsi="Palatino Linotype"/>
              </w:rPr>
            </w:pPr>
          </w:p>
        </w:tc>
        <w:tc>
          <w:tcPr>
            <w:tcW w:w="5776" w:type="dxa"/>
            <w:tcBorders>
              <w:top w:val="double" w:sz="4" w:space="0" w:color="auto"/>
              <w:left w:val="nil"/>
              <w:right w:val="nil"/>
            </w:tcBorders>
          </w:tcPr>
          <w:p w14:paraId="3C90C20C" w14:textId="77777777" w:rsidR="00092A09" w:rsidRPr="000A0C4D" w:rsidRDefault="007024BD">
            <w:pPr>
              <w:spacing w:before="120"/>
              <w:ind w:left="81"/>
              <w:rPr>
                <w:rFonts w:ascii="Palatino Linotype" w:hAnsi="Palatino Linotype"/>
                <w:color w:val="000000"/>
                <w:sz w:val="24"/>
                <w:szCs w:val="24"/>
              </w:rPr>
            </w:pPr>
            <w:r w:rsidRPr="000A0C4D">
              <w:rPr>
                <w:rFonts w:ascii="Palatino Linotype" w:hAnsi="Palatino Linotype"/>
                <w:b/>
                <w:bCs/>
                <w:iCs/>
                <w:color w:val="000000"/>
              </w:rPr>
              <w:t>ABSTRACT</w:t>
            </w:r>
          </w:p>
        </w:tc>
      </w:tr>
      <w:tr w:rsidR="003B03C8" w:rsidRPr="000A0C4D" w14:paraId="562C9567" w14:textId="77777777" w:rsidTr="0048254D">
        <w:trPr>
          <w:trHeight w:val="1268"/>
          <w:jc w:val="center"/>
        </w:trPr>
        <w:tc>
          <w:tcPr>
            <w:tcW w:w="2787" w:type="dxa"/>
            <w:tcBorders>
              <w:left w:val="nil"/>
              <w:right w:val="nil"/>
            </w:tcBorders>
          </w:tcPr>
          <w:p w14:paraId="4862C563" w14:textId="77777777" w:rsidR="00092A09" w:rsidRPr="000A0C4D" w:rsidRDefault="007024BD">
            <w:pPr>
              <w:spacing w:before="120" w:after="120"/>
              <w:jc w:val="both"/>
              <w:rPr>
                <w:rFonts w:ascii="Palatino Linotype" w:hAnsi="Palatino Linotype"/>
                <w:b/>
                <w:i/>
                <w:sz w:val="18"/>
                <w:szCs w:val="18"/>
              </w:rPr>
            </w:pPr>
            <w:r w:rsidRPr="000A0C4D">
              <w:rPr>
                <w:rFonts w:ascii="Palatino Linotype" w:hAnsi="Palatino Linotype"/>
                <w:b/>
                <w:i/>
                <w:sz w:val="18"/>
                <w:szCs w:val="18"/>
              </w:rPr>
              <w:t>Keywords:</w:t>
            </w:r>
          </w:p>
          <w:p w14:paraId="103B41B5" w14:textId="77777777" w:rsidR="00092A09" w:rsidRPr="000A0C4D" w:rsidRDefault="007024BD">
            <w:pPr>
              <w:pStyle w:val="Alishlah18keywords"/>
              <w:ind w:left="0"/>
              <w:rPr>
                <w:rFonts w:eastAsia="SimSun"/>
              </w:rPr>
            </w:pPr>
            <w:r w:rsidRPr="000A0C4D">
              <w:rPr>
                <w:rFonts w:eastAsia="Times New Roman" w:cs="Cambria"/>
              </w:rPr>
              <w:t>Student Perceptions;</w:t>
            </w:r>
          </w:p>
          <w:p w14:paraId="4C546EF5" w14:textId="77777777" w:rsidR="00092A09" w:rsidRPr="000A0C4D" w:rsidRDefault="007024BD">
            <w:pPr>
              <w:ind w:hanging="2"/>
              <w:rPr>
                <w:rFonts w:ascii="Palatino Linotype" w:eastAsia="Times New Roman" w:hAnsi="Palatino Linotype" w:cs="Cambria"/>
                <w:color w:val="000000"/>
                <w:sz w:val="18"/>
                <w:szCs w:val="18"/>
              </w:rPr>
            </w:pPr>
            <w:r w:rsidRPr="000A0C4D">
              <w:rPr>
                <w:rFonts w:ascii="Palatino Linotype" w:eastAsia="Times New Roman" w:hAnsi="Palatino Linotype" w:cs="Cambria"/>
                <w:color w:val="000000"/>
                <w:sz w:val="18"/>
                <w:szCs w:val="18"/>
              </w:rPr>
              <w:t>Learning</w:t>
            </w:r>
            <w:r w:rsidR="000201DB" w:rsidRPr="000A0C4D">
              <w:rPr>
                <w:rFonts w:ascii="Palatino Linotype" w:eastAsia="Times New Roman" w:hAnsi="Palatino Linotype" w:cs="Cambria"/>
                <w:color w:val="000000"/>
                <w:sz w:val="18"/>
                <w:szCs w:val="18"/>
              </w:rPr>
              <w:t xml:space="preserve"> Motivation</w:t>
            </w:r>
          </w:p>
          <w:p w14:paraId="5E317B4D" w14:textId="77777777" w:rsidR="00092A09" w:rsidRPr="000A0C4D" w:rsidRDefault="007024BD">
            <w:pPr>
              <w:ind w:hanging="2"/>
              <w:rPr>
                <w:rFonts w:ascii="Palatino Linotype" w:eastAsia="Times New Roman" w:hAnsi="Palatino Linotype" w:cs="Cambria"/>
                <w:color w:val="000000"/>
                <w:sz w:val="18"/>
                <w:szCs w:val="18"/>
              </w:rPr>
            </w:pPr>
            <w:r w:rsidRPr="000A0C4D">
              <w:rPr>
                <w:rFonts w:ascii="Palatino Linotype" w:eastAsia="Times New Roman" w:hAnsi="Palatino Linotype" w:cs="Cambria"/>
                <w:color w:val="000000"/>
                <w:sz w:val="18"/>
                <w:szCs w:val="18"/>
              </w:rPr>
              <w:t>Blended Learning Strategy</w:t>
            </w:r>
          </w:p>
          <w:p w14:paraId="2B54320F" w14:textId="77777777" w:rsidR="000F77E9" w:rsidRPr="000A0C4D" w:rsidRDefault="000F77E9" w:rsidP="000F77E9">
            <w:pPr>
              <w:rPr>
                <w:rFonts w:ascii="Palatino Linotype" w:hAnsi="Palatino Linotype"/>
                <w:sz w:val="18"/>
                <w:szCs w:val="18"/>
                <w:lang w:eastAsia="de-DE"/>
              </w:rPr>
            </w:pPr>
          </w:p>
          <w:p w14:paraId="5811314E" w14:textId="77777777" w:rsidR="002B31FD" w:rsidRPr="000A0C4D" w:rsidRDefault="002B31FD" w:rsidP="00290481">
            <w:pPr>
              <w:pStyle w:val="Alishlah18keywords"/>
              <w:rPr>
                <w:rFonts w:eastAsia="SimSun"/>
              </w:rPr>
            </w:pPr>
          </w:p>
          <w:p w14:paraId="269D5E98" w14:textId="77777777" w:rsidR="00092A09" w:rsidRPr="000A0C4D" w:rsidRDefault="007024BD">
            <w:pPr>
              <w:pStyle w:val="Alishlah18keywords"/>
              <w:rPr>
                <w:rFonts w:eastAsia="SimSun"/>
              </w:rPr>
            </w:pPr>
            <w:r w:rsidRPr="000A0C4D">
              <w:rPr>
                <w:rFonts w:eastAsia="SimSun"/>
              </w:rPr>
              <w:t>(List three to five pertinent keywords specific to the article; yet reasonably common within the subject discipline; use lower case except for names)</w:t>
            </w:r>
            <w:r w:rsidR="00290481" w:rsidRPr="000A0C4D">
              <w:rPr>
                <w:rFonts w:eastAsia="SimSun"/>
              </w:rPr>
              <w:t>.</w:t>
            </w:r>
          </w:p>
          <w:p w14:paraId="7E42BE36" w14:textId="77777777" w:rsidR="0048254D" w:rsidRPr="000A0C4D"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14:paraId="61882B61" w14:textId="77777777" w:rsidR="0048254D" w:rsidRPr="000A0C4D" w:rsidRDefault="0048254D" w:rsidP="001C18FA">
            <w:pPr>
              <w:spacing w:before="120"/>
              <w:jc w:val="both"/>
              <w:rPr>
                <w:rFonts w:ascii="Palatino Linotype" w:hAnsi="Palatino Linotype"/>
                <w:sz w:val="18"/>
                <w:szCs w:val="18"/>
              </w:rPr>
            </w:pPr>
          </w:p>
        </w:tc>
        <w:tc>
          <w:tcPr>
            <w:tcW w:w="5776" w:type="dxa"/>
            <w:vMerge w:val="restart"/>
            <w:tcBorders>
              <w:left w:val="nil"/>
              <w:bottom w:val="nil"/>
              <w:right w:val="nil"/>
            </w:tcBorders>
          </w:tcPr>
          <w:p w14:paraId="3FF51B8E" w14:textId="77777777" w:rsidR="00092A09" w:rsidRPr="000A0C4D" w:rsidRDefault="007024BD">
            <w:pPr>
              <w:ind w:hanging="2"/>
              <w:jc w:val="both"/>
              <w:rPr>
                <w:rFonts w:ascii="Palatino Linotype" w:eastAsia="Times New Roman" w:hAnsi="Palatino Linotype" w:cs="Arial"/>
              </w:rPr>
            </w:pPr>
            <w:r w:rsidRPr="000A0C4D">
              <w:rPr>
                <w:rFonts w:ascii="Palatino Linotype" w:hAnsi="Palatino Linotype" w:cs="Arial"/>
              </w:rPr>
              <w:t>Different perceptions will affect the success of learning outco</w:t>
            </w:r>
            <w:r w:rsidRPr="000A0C4D">
              <w:rPr>
                <w:rFonts w:ascii="Palatino Linotype" w:hAnsi="Palatino Linotype" w:cs="Arial"/>
              </w:rPr>
              <w:t>mes, namely student perceptions</w:t>
            </w:r>
            <w:r w:rsidR="00F87661" w:rsidRPr="000A0C4D">
              <w:rPr>
                <w:rFonts w:ascii="Palatino Linotype" w:hAnsi="Palatino Linotype" w:cs="Arial"/>
              </w:rPr>
              <w:t>. T</w:t>
            </w:r>
            <w:r w:rsidRPr="000A0C4D">
              <w:rPr>
                <w:rFonts w:ascii="Palatino Linotype" w:hAnsi="Palatino Linotype" w:cs="Arial"/>
              </w:rPr>
              <w:t>hus</w:t>
            </w:r>
            <w:r w:rsidR="00F87661" w:rsidRPr="000A0C4D">
              <w:rPr>
                <w:rFonts w:ascii="Palatino Linotype" w:hAnsi="Palatino Linotype" w:cs="Arial"/>
              </w:rPr>
              <w:t>,</w:t>
            </w:r>
            <w:r w:rsidRPr="000A0C4D">
              <w:rPr>
                <w:rFonts w:ascii="Palatino Linotype" w:hAnsi="Palatino Linotype" w:cs="Arial"/>
              </w:rPr>
              <w:t xml:space="preserve"> </w:t>
            </w:r>
            <w:r w:rsidR="00F87661" w:rsidRPr="000A0C4D">
              <w:rPr>
                <w:rFonts w:ascii="Palatino Linotype" w:hAnsi="Palatino Linotype" w:cs="Arial"/>
              </w:rPr>
              <w:t xml:space="preserve">it </w:t>
            </w:r>
            <w:r w:rsidRPr="000A0C4D">
              <w:rPr>
                <w:rFonts w:ascii="Palatino Linotype" w:hAnsi="Palatino Linotype" w:cs="Arial"/>
              </w:rPr>
              <w:t>affect</w:t>
            </w:r>
            <w:r w:rsidR="00F87661" w:rsidRPr="000A0C4D">
              <w:rPr>
                <w:rFonts w:ascii="Palatino Linotype" w:hAnsi="Palatino Linotype" w:cs="Arial"/>
              </w:rPr>
              <w:t xml:space="preserve">s </w:t>
            </w:r>
            <w:r w:rsidRPr="000A0C4D">
              <w:rPr>
                <w:rFonts w:ascii="Palatino Linotype" w:hAnsi="Palatino Linotype" w:cs="Arial"/>
              </w:rPr>
              <w:t>student learning motivation. The study aimed to determine the relationship between student perceptions and learning motivation toward blended learning strategies. The research used is a correlational test b</w:t>
            </w:r>
            <w:r w:rsidRPr="000A0C4D">
              <w:rPr>
                <w:rFonts w:ascii="Palatino Linotype" w:hAnsi="Palatino Linotype" w:cs="Arial"/>
              </w:rPr>
              <w:t>etween student perceptions and learning outcomes with blended learning strategies. The participants in this study were 70 people from two different classes. The</w:t>
            </w:r>
            <w:r w:rsidR="00113F2B" w:rsidRPr="000A0C4D">
              <w:rPr>
                <w:rFonts w:ascii="Palatino Linotype" w:hAnsi="Palatino Linotype" w:cs="Arial"/>
              </w:rPr>
              <w:t xml:space="preserve"> </w:t>
            </w:r>
            <w:r w:rsidRPr="000A0C4D">
              <w:rPr>
                <w:rFonts w:ascii="Palatino Linotype" w:hAnsi="Palatino Linotype" w:cs="Arial"/>
              </w:rPr>
              <w:t>BL learning strategy</w:t>
            </w:r>
            <w:r w:rsidR="00113F2B" w:rsidRPr="000A0C4D">
              <w:rPr>
                <w:rFonts w:ascii="Palatino Linotype" w:hAnsi="Palatino Linotype" w:cs="Arial"/>
              </w:rPr>
              <w:t xml:space="preserve"> </w:t>
            </w:r>
            <w:r w:rsidRPr="000A0C4D">
              <w:rPr>
                <w:rFonts w:ascii="Palatino Linotype" w:hAnsi="Palatino Linotype" w:cs="Arial"/>
              </w:rPr>
              <w:t xml:space="preserve">research instruments </w:t>
            </w:r>
            <w:r w:rsidR="00113F2B" w:rsidRPr="000A0C4D">
              <w:rPr>
                <w:rFonts w:ascii="Palatino Linotype" w:hAnsi="Palatino Linotype" w:cs="Arial"/>
              </w:rPr>
              <w:t xml:space="preserve">and </w:t>
            </w:r>
            <w:r w:rsidRPr="000A0C4D">
              <w:rPr>
                <w:rFonts w:ascii="Palatino Linotype" w:hAnsi="Palatino Linotype" w:cs="Arial"/>
              </w:rPr>
              <w:t>student learning motivation</w:t>
            </w:r>
            <w:r w:rsidR="00113F2B" w:rsidRPr="000A0C4D">
              <w:rPr>
                <w:rFonts w:ascii="Palatino Linotype" w:hAnsi="Palatino Linotype" w:cs="Arial"/>
              </w:rPr>
              <w:t xml:space="preserve"> include</w:t>
            </w:r>
            <w:r w:rsidRPr="000A0C4D">
              <w:rPr>
                <w:rFonts w:ascii="Palatino Linotype" w:hAnsi="Palatino Linotype" w:cs="Arial"/>
              </w:rPr>
              <w:t xml:space="preserve"> 1) Desire</w:t>
            </w:r>
            <w:r w:rsidR="00113F2B" w:rsidRPr="000A0C4D">
              <w:rPr>
                <w:rFonts w:ascii="Palatino Linotype" w:hAnsi="Palatino Linotype" w:cs="Arial"/>
              </w:rPr>
              <w:t xml:space="preserve"> </w:t>
            </w:r>
            <w:r w:rsidRPr="000A0C4D">
              <w:rPr>
                <w:rFonts w:ascii="Palatino Linotype" w:hAnsi="Palatino Linotype" w:cs="Arial"/>
              </w:rPr>
              <w:t xml:space="preserve">to </w:t>
            </w:r>
            <w:r w:rsidRPr="000A0C4D">
              <w:rPr>
                <w:rFonts w:ascii="Palatino Linotype" w:hAnsi="Palatino Linotype" w:cs="Arial"/>
              </w:rPr>
              <w:t xml:space="preserve">succeed, 2) Encouragement and needs in learning, 3) Expectations and future goals, and 4) Appreciation of learning. 5) Interesting desires in learning, 6) A Conducive learning environment. The results showed no relationship between student perceptions and </w:t>
            </w:r>
            <w:r w:rsidRPr="000A0C4D">
              <w:rPr>
                <w:rFonts w:ascii="Palatino Linotype" w:hAnsi="Palatino Linotype" w:cs="Arial"/>
              </w:rPr>
              <w:t>learning motivation toward BL learning strategies. Thus, other factors influence student perceptions and learning motivation, such as socioeconomic, family environment, and cultural environment.</w:t>
            </w:r>
          </w:p>
          <w:p w14:paraId="392EDEF8" w14:textId="77777777" w:rsidR="0048254D" w:rsidRPr="000A0C4D" w:rsidRDefault="0048254D" w:rsidP="00E45249">
            <w:pPr>
              <w:pStyle w:val="Alishlah17abstract"/>
              <w:rPr>
                <w:rFonts w:eastAsia="SimSun"/>
              </w:rPr>
            </w:pPr>
          </w:p>
        </w:tc>
      </w:tr>
      <w:tr w:rsidR="003B03C8" w:rsidRPr="000A0C4D" w14:paraId="1BC3CA15" w14:textId="77777777" w:rsidTr="0048254D">
        <w:trPr>
          <w:trHeight w:val="1231"/>
          <w:jc w:val="center"/>
        </w:trPr>
        <w:tc>
          <w:tcPr>
            <w:tcW w:w="2787" w:type="dxa"/>
            <w:vMerge w:val="restart"/>
            <w:tcBorders>
              <w:left w:val="nil"/>
              <w:right w:val="nil"/>
            </w:tcBorders>
          </w:tcPr>
          <w:p w14:paraId="076C6AEF" w14:textId="77777777" w:rsidR="00092A09" w:rsidRPr="000A0C4D" w:rsidRDefault="007024BD">
            <w:pPr>
              <w:spacing w:before="120" w:after="120"/>
              <w:jc w:val="both"/>
              <w:rPr>
                <w:rFonts w:ascii="Palatino Linotype" w:hAnsi="Palatino Linotype"/>
                <w:b/>
                <w:i/>
                <w:sz w:val="18"/>
                <w:szCs w:val="18"/>
              </w:rPr>
            </w:pPr>
            <w:r w:rsidRPr="000A0C4D">
              <w:rPr>
                <w:rFonts w:ascii="Palatino Linotype" w:hAnsi="Palatino Linotype"/>
                <w:b/>
                <w:i/>
                <w:sz w:val="18"/>
                <w:szCs w:val="18"/>
              </w:rPr>
              <w:t>Article history:</w:t>
            </w:r>
          </w:p>
          <w:p w14:paraId="654F167C" w14:textId="77777777" w:rsidR="00092A09" w:rsidRPr="000A0C4D" w:rsidRDefault="007024BD">
            <w:pPr>
              <w:pStyle w:val="Alishlah14history"/>
              <w:rPr>
                <w:rFonts w:eastAsia="SimSun"/>
              </w:rPr>
            </w:pPr>
            <w:r w:rsidRPr="000A0C4D">
              <w:rPr>
                <w:rFonts w:eastAsia="SimSun"/>
              </w:rPr>
              <w:t xml:space="preserve">Received </w:t>
            </w:r>
            <w:r w:rsidR="00FA43FF" w:rsidRPr="000A0C4D">
              <w:rPr>
                <w:rFonts w:eastAsia="SimSun"/>
              </w:rPr>
              <w:t>2021-08-14</w:t>
            </w:r>
          </w:p>
          <w:p w14:paraId="261E6DB6" w14:textId="77777777" w:rsidR="00092A09" w:rsidRPr="000A0C4D" w:rsidRDefault="007024BD">
            <w:pPr>
              <w:pStyle w:val="Alishlah14history"/>
              <w:rPr>
                <w:rFonts w:eastAsia="SimSun"/>
              </w:rPr>
            </w:pPr>
            <w:r w:rsidRPr="000A0C4D">
              <w:rPr>
                <w:rFonts w:eastAsia="SimSun"/>
              </w:rPr>
              <w:t xml:space="preserve">Revised </w:t>
            </w:r>
            <w:r w:rsidR="00675603" w:rsidRPr="000A0C4D">
              <w:tab/>
            </w:r>
            <w:r w:rsidR="00FA43FF" w:rsidRPr="000A0C4D">
              <w:rPr>
                <w:rFonts w:eastAsia="SimSun"/>
              </w:rPr>
              <w:t>2021-11-12</w:t>
            </w:r>
          </w:p>
          <w:p w14:paraId="7863B0B6" w14:textId="77777777" w:rsidR="00092A09" w:rsidRPr="000A0C4D" w:rsidRDefault="007024BD">
            <w:pPr>
              <w:pStyle w:val="Alishlah14history"/>
              <w:rPr>
                <w:rFonts w:eastAsia="SimSun"/>
                <w:lang w:val="en-AU"/>
              </w:rPr>
            </w:pPr>
            <w:r w:rsidRPr="000A0C4D">
              <w:rPr>
                <w:rFonts w:eastAsia="SimSun"/>
              </w:rPr>
              <w:t xml:space="preserve">Accepted </w:t>
            </w:r>
            <w:r w:rsidR="00FA43FF" w:rsidRPr="000A0C4D">
              <w:rPr>
                <w:rFonts w:eastAsia="SimSun"/>
              </w:rPr>
              <w:t>2022-01-17</w:t>
            </w:r>
          </w:p>
        </w:tc>
        <w:tc>
          <w:tcPr>
            <w:tcW w:w="282" w:type="dxa"/>
            <w:vMerge/>
            <w:tcBorders>
              <w:top w:val="nil"/>
              <w:left w:val="nil"/>
              <w:bottom w:val="nil"/>
              <w:right w:val="nil"/>
            </w:tcBorders>
          </w:tcPr>
          <w:p w14:paraId="237F2EE7" w14:textId="77777777" w:rsidR="0048254D" w:rsidRPr="000A0C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61372643" w14:textId="77777777" w:rsidR="0048254D" w:rsidRPr="000A0C4D" w:rsidRDefault="0048254D" w:rsidP="001C18FA">
            <w:pPr>
              <w:spacing w:before="120"/>
              <w:jc w:val="both"/>
              <w:rPr>
                <w:rFonts w:ascii="Palatino Linotype" w:hAnsi="Palatino Linotype"/>
                <w:iCs/>
                <w:color w:val="000000"/>
                <w:sz w:val="18"/>
                <w:szCs w:val="18"/>
              </w:rPr>
            </w:pPr>
          </w:p>
        </w:tc>
      </w:tr>
      <w:tr w:rsidR="003B03C8" w:rsidRPr="000A0C4D" w14:paraId="491310BF" w14:textId="77777777" w:rsidTr="0048254D">
        <w:trPr>
          <w:trHeight w:val="70"/>
          <w:jc w:val="center"/>
        </w:trPr>
        <w:tc>
          <w:tcPr>
            <w:tcW w:w="2787" w:type="dxa"/>
            <w:vMerge/>
            <w:tcBorders>
              <w:left w:val="nil"/>
              <w:right w:val="nil"/>
            </w:tcBorders>
          </w:tcPr>
          <w:p w14:paraId="412C5721" w14:textId="77777777" w:rsidR="0048254D" w:rsidRPr="000A0C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5D175C1C" w14:textId="77777777" w:rsidR="0048254D" w:rsidRPr="000A0C4D" w:rsidRDefault="0048254D" w:rsidP="001C18FA">
            <w:pPr>
              <w:spacing w:before="120"/>
              <w:jc w:val="both"/>
              <w:rPr>
                <w:rFonts w:ascii="Palatino Linotype" w:hAnsi="Palatino Linotype"/>
              </w:rPr>
            </w:pPr>
          </w:p>
        </w:tc>
        <w:tc>
          <w:tcPr>
            <w:tcW w:w="5776" w:type="dxa"/>
            <w:tcBorders>
              <w:top w:val="nil"/>
              <w:left w:val="nil"/>
              <w:right w:val="nil"/>
            </w:tcBorders>
          </w:tcPr>
          <w:p w14:paraId="6435972E" w14:textId="77777777" w:rsidR="00092A09" w:rsidRPr="000A0C4D" w:rsidRDefault="007024BD">
            <w:pPr>
              <w:spacing w:before="120" w:after="120"/>
              <w:jc w:val="right"/>
              <w:rPr>
                <w:rFonts w:ascii="Palatino Linotype" w:hAnsi="Palatino Linotype"/>
                <w:i/>
                <w:iCs/>
                <w:color w:val="000000"/>
                <w:sz w:val="18"/>
                <w:szCs w:val="18"/>
              </w:rPr>
            </w:pPr>
            <w:r w:rsidRPr="000A0C4D">
              <w:rPr>
                <w:rFonts w:ascii="Palatino Linotype" w:hAnsi="Palatino Linotype"/>
                <w:i/>
                <w:iCs/>
                <w:color w:val="000000"/>
                <w:sz w:val="18"/>
                <w:szCs w:val="18"/>
              </w:rPr>
              <w:t xml:space="preserve">This is an open-access article under the </w:t>
            </w:r>
            <w:hyperlink r:id="rId9" w:history="1">
              <w:r w:rsidRPr="000A0C4D">
                <w:rPr>
                  <w:rStyle w:val="Hyperlink"/>
                  <w:rFonts w:ascii="Palatino Linotype" w:hAnsi="Palatino Linotype"/>
                  <w:i/>
                  <w:iCs/>
                  <w:sz w:val="18"/>
                  <w:szCs w:val="18"/>
                </w:rPr>
                <w:t>CC BY-NC-SA</w:t>
              </w:r>
            </w:hyperlink>
            <w:r w:rsidRPr="000A0C4D">
              <w:rPr>
                <w:rFonts w:ascii="Palatino Linotype" w:hAnsi="Palatino Linotype"/>
                <w:i/>
                <w:iCs/>
                <w:color w:val="000000"/>
                <w:sz w:val="18"/>
                <w:szCs w:val="18"/>
              </w:rPr>
              <w:t xml:space="preserve"> license.</w:t>
            </w:r>
          </w:p>
          <w:p w14:paraId="76F5A6F6" w14:textId="77777777" w:rsidR="0048254D" w:rsidRPr="000A0C4D" w:rsidRDefault="007024BD" w:rsidP="001C18FA">
            <w:pPr>
              <w:spacing w:before="120" w:after="120"/>
              <w:jc w:val="right"/>
              <w:rPr>
                <w:rFonts w:ascii="Palatino Linotype" w:hAnsi="Palatino Linotype"/>
                <w:i/>
                <w:iCs/>
                <w:color w:val="000000"/>
                <w:sz w:val="18"/>
                <w:szCs w:val="18"/>
              </w:rPr>
            </w:pPr>
            <w:r w:rsidRPr="000A0C4D">
              <w:rPr>
                <w:rFonts w:ascii="Palatino Linotype" w:hAnsi="Palatino Linotype"/>
                <w:noProof/>
              </w:rPr>
              <w:drawing>
                <wp:inline distT="0" distB="0" distL="0" distR="0" wp14:anchorId="1839B305" wp14:editId="78957BDD">
                  <wp:extent cx="1051560" cy="365760"/>
                  <wp:effectExtent l="0" t="0" r="0" b="0"/>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51560" cy="365760"/>
                          </a:xfrm>
                          <a:prstGeom prst="rect">
                            <a:avLst/>
                          </a:prstGeom>
                          <a:noFill/>
                          <a:ln>
                            <a:noFill/>
                          </a:ln>
                        </pic:spPr>
                      </pic:pic>
                    </a:graphicData>
                  </a:graphic>
                </wp:inline>
              </w:drawing>
            </w:r>
          </w:p>
        </w:tc>
      </w:tr>
      <w:tr w:rsidR="003B03C8" w:rsidRPr="000A0C4D" w14:paraId="0EF5E10A" w14:textId="77777777" w:rsidTr="0048254D">
        <w:trPr>
          <w:jc w:val="center"/>
        </w:trPr>
        <w:tc>
          <w:tcPr>
            <w:tcW w:w="8845" w:type="dxa"/>
            <w:gridSpan w:val="3"/>
            <w:tcBorders>
              <w:top w:val="nil"/>
              <w:left w:val="nil"/>
              <w:bottom w:val="double" w:sz="4" w:space="0" w:color="auto"/>
              <w:right w:val="nil"/>
            </w:tcBorders>
          </w:tcPr>
          <w:p w14:paraId="7B764015" w14:textId="77777777" w:rsidR="00092A09" w:rsidRPr="000A0C4D" w:rsidRDefault="007024BD">
            <w:pPr>
              <w:pStyle w:val="Alishlah16affiliation"/>
              <w:ind w:left="0" w:firstLine="10"/>
              <w:rPr>
                <w:rFonts w:eastAsia="SimSun"/>
                <w:b/>
                <w:bCs/>
              </w:rPr>
            </w:pPr>
            <w:bookmarkStart w:id="0" w:name="_Hlk97159440"/>
            <w:r w:rsidRPr="000A0C4D">
              <w:rPr>
                <w:b/>
                <w:bCs/>
              </w:rPr>
              <w:t>Corresponding Author</w:t>
            </w:r>
            <w:bookmarkEnd w:id="0"/>
            <w:r w:rsidRPr="000A0C4D">
              <w:rPr>
                <w:b/>
                <w:bCs/>
              </w:rPr>
              <w:t xml:space="preserve"> :</w:t>
            </w:r>
          </w:p>
          <w:p w14:paraId="02855786" w14:textId="326D6AA5" w:rsidR="00092A09" w:rsidRPr="000A0C4D" w:rsidRDefault="00242DD3" w:rsidP="00242DD3">
            <w:pPr>
              <w:pStyle w:val="Alishlah2authorcorrespondence"/>
              <w:ind w:left="0" w:firstLine="0"/>
              <w:rPr>
                <w:rFonts w:eastAsia="SimSun"/>
              </w:rPr>
            </w:pPr>
            <w:r>
              <w:rPr>
                <w:rFonts w:eastAsia="SimSun"/>
              </w:rPr>
              <w:t xml:space="preserve">  </w:t>
            </w:r>
            <w:r w:rsidR="007024BD" w:rsidRPr="000A0C4D">
              <w:rPr>
                <w:rFonts w:eastAsia="SimSun"/>
              </w:rPr>
              <w:t>Abednego</w:t>
            </w:r>
          </w:p>
          <w:p w14:paraId="507B66C0" w14:textId="417D7D08" w:rsidR="00092A09" w:rsidRPr="005C77D1" w:rsidRDefault="00685F8C">
            <w:pPr>
              <w:pStyle w:val="Alishlah16affiliation"/>
              <w:ind w:left="86" w:firstLine="0"/>
              <w:jc w:val="both"/>
              <w:rPr>
                <w:rFonts w:eastAsia="SimSun"/>
                <w:color w:val="000000" w:themeColor="text1"/>
                <w:lang w:val="en-GB"/>
              </w:rPr>
            </w:pPr>
            <w:r w:rsidRPr="000A0C4D">
              <w:rPr>
                <w:color w:val="auto"/>
                <w:lang w:val="en-GB"/>
              </w:rPr>
              <w:t>Non-formal Education Study Program</w:t>
            </w:r>
            <w:r w:rsidR="007024BD" w:rsidRPr="000A0C4D">
              <w:rPr>
                <w:rFonts w:eastAsia="SimSun"/>
                <w:color w:val="auto"/>
                <w:lang w:val="en-GB"/>
              </w:rPr>
              <w:t xml:space="preserve">, Faculty of Teacher Training </w:t>
            </w:r>
            <w:r w:rsidR="007024BD" w:rsidRPr="000A0C4D">
              <w:rPr>
                <w:rFonts w:eastAsia="SimSun"/>
                <w:color w:val="auto"/>
                <w:lang w:val="en-GB"/>
              </w:rPr>
              <w:t xml:space="preserve">and Education, </w:t>
            </w:r>
            <w:proofErr w:type="spellStart"/>
            <w:r w:rsidR="007024BD" w:rsidRPr="000A0C4D">
              <w:rPr>
                <w:rFonts w:eastAsia="SimSun"/>
                <w:color w:val="auto"/>
                <w:lang w:val="en-GB"/>
              </w:rPr>
              <w:t>Pattimura</w:t>
            </w:r>
            <w:proofErr w:type="spellEnd"/>
            <w:r w:rsidR="007024BD" w:rsidRPr="000A0C4D">
              <w:rPr>
                <w:rFonts w:eastAsia="SimSun"/>
                <w:color w:val="auto"/>
                <w:lang w:val="en-GB"/>
              </w:rPr>
              <w:t xml:space="preserve"> University, Amb</w:t>
            </w:r>
            <w:r w:rsidR="000A306E">
              <w:rPr>
                <w:rFonts w:eastAsia="SimSun"/>
                <w:color w:val="auto"/>
                <w:lang w:val="en-GB"/>
              </w:rPr>
              <w:t xml:space="preserve">on, Indonesia; e-mail: </w:t>
            </w:r>
            <w:bookmarkStart w:id="1" w:name="_GoBack"/>
            <w:r w:rsidR="00401323" w:rsidRPr="005C77D1">
              <w:rPr>
                <w:color w:val="000000" w:themeColor="text1"/>
                <w:spacing w:val="2"/>
                <w:shd w:val="clear" w:color="auto" w:fill="FFFFFF"/>
              </w:rPr>
              <w:t>abednegodr01@gmail.com</w:t>
            </w:r>
          </w:p>
          <w:bookmarkEnd w:id="1"/>
          <w:p w14:paraId="2921C100" w14:textId="77777777" w:rsidR="0048254D" w:rsidRPr="000A0C4D" w:rsidRDefault="0048254D" w:rsidP="00E45249">
            <w:pPr>
              <w:pStyle w:val="Alishlah2authorcorrespondence"/>
              <w:rPr>
                <w:rFonts w:eastAsia="SimSun"/>
              </w:rPr>
            </w:pPr>
          </w:p>
        </w:tc>
      </w:tr>
    </w:tbl>
    <w:p w14:paraId="09C6ED6A" w14:textId="77777777" w:rsidR="00092A09" w:rsidRPr="000A0C4D" w:rsidRDefault="007024BD">
      <w:pPr>
        <w:pStyle w:val="Alishlah21heading1"/>
        <w:rPr>
          <w:lang w:val="en-GB"/>
        </w:rPr>
      </w:pPr>
      <w:r w:rsidRPr="000A0C4D">
        <w:rPr>
          <w:lang w:val="en-GB"/>
        </w:rPr>
        <w:t>INTRODUCTION</w:t>
      </w:r>
    </w:p>
    <w:p w14:paraId="2F8EB880" w14:textId="77777777" w:rsidR="00092A09" w:rsidRPr="000A0C4D" w:rsidRDefault="007024BD">
      <w:pPr>
        <w:pStyle w:val="Alishlah31text"/>
        <w:rPr>
          <w:szCs w:val="20"/>
        </w:rPr>
      </w:pPr>
      <w:r w:rsidRPr="000A0C4D">
        <w:rPr>
          <w:szCs w:val="20"/>
        </w:rPr>
        <w:t>Advances in science and technology in various fields of life bring changes, especially in improving the quality of education. Many factors affect education's future development, including the rapid development of information technology through the emergenc</w:t>
      </w:r>
      <w:r w:rsidRPr="000A0C4D">
        <w:rPr>
          <w:szCs w:val="20"/>
        </w:rPr>
        <w:t xml:space="preserve">e and mass generalization of the Internet and the increasingly competitive competition for human resources in obtaining </w:t>
      </w:r>
      <w:r w:rsidRPr="000A0C4D">
        <w:rPr>
          <w:szCs w:val="20"/>
        </w:rPr>
        <w:lastRenderedPageBreak/>
        <w:t xml:space="preserve">employment. </w:t>
      </w:r>
      <w:r w:rsidRPr="000A0C4D">
        <w:rPr>
          <w:szCs w:val="20"/>
        </w:rPr>
        <w:fldChar w:fldCharType="begin" w:fldLock="1"/>
      </w:r>
      <w:r w:rsidRPr="000A0C4D">
        <w:rPr>
          <w:szCs w:val="20"/>
        </w:rPr>
        <w:instrText>ADDIN CSL_CITATION {"citationItems":[{"id":"ITEM-1","itemData":{"author":[{"dropping-particle":"","family":"Nancu","given":"</w:instrText>
      </w:r>
      <w:r w:rsidRPr="000A0C4D">
        <w:rPr>
          <w:szCs w:val="20"/>
        </w:rPr>
        <w:instrText>Dumitru","non-dropping-particle":"","parse-names":false,"suffix":""},{"dropping-particle":"","family":"Sima","given":"Violeta","non-dropping-particle":"","parse-names":false,"suffix":""},{"dropping-particle":"","family":"Gheorghe","given":"Ileana Georgiana</w:instrText>
      </w:r>
      <w:r w:rsidRPr="000A0C4D">
        <w:rPr>
          <w:szCs w:val="20"/>
        </w:rPr>
        <w:instrText>","non-dropping-particle":"","parse-names":false,"suffix":""}],"container-title":"Sustainability (Switzerland)","id":"ITEM-1","issue":"10","issued":{"date-parts":[["2020"]]},"page":"1-28","title":"Influences of the Industry 4 . 0 Revolution on the Human Ca</w:instrText>
      </w:r>
      <w:r w:rsidRPr="000A0C4D">
        <w:rPr>
          <w:szCs w:val="20"/>
        </w:rPr>
        <w:instrText>pital Development and Consumer Behavior : A Systematic Review","type":"article-journal","volume":"12"},"uris":["http://www.mendeley.com/documents/?uuid=1091d397-9d5f-40ae-ba35-99bf054203af"]}],"mendeley":{"formattedCitation":"(Nancu et al., 2020)","plainTe</w:instrText>
      </w:r>
      <w:r w:rsidRPr="000A0C4D">
        <w:rPr>
          <w:szCs w:val="20"/>
        </w:rPr>
        <w:instrText>xtFormattedCitation":"(Nancu et al., 2020)","previouslyFormattedCitation":"(Nancu et al., 2020)"},"properties":{"noteIndex":0},"schema":"https://github.com/citation-style-language/schema/raw/master/csl-citation.json"}</w:instrText>
      </w:r>
      <w:r w:rsidRPr="000A0C4D">
        <w:rPr>
          <w:szCs w:val="20"/>
        </w:rPr>
        <w:fldChar w:fldCharType="separate"/>
      </w:r>
      <w:proofErr w:type="gramStart"/>
      <w:r w:rsidRPr="000A0C4D">
        <w:rPr>
          <w:noProof/>
          <w:szCs w:val="20"/>
        </w:rPr>
        <w:t>(Nancu et al., 2020)</w:t>
      </w:r>
      <w:r w:rsidRPr="000A0C4D">
        <w:rPr>
          <w:szCs w:val="20"/>
        </w:rPr>
        <w:fldChar w:fldCharType="end"/>
      </w:r>
      <w:r w:rsidRPr="000A0C4D">
        <w:rPr>
          <w:szCs w:val="20"/>
        </w:rPr>
        <w:t>.</w:t>
      </w:r>
      <w:proofErr w:type="gramEnd"/>
      <w:r w:rsidRPr="000A0C4D">
        <w:rPr>
          <w:szCs w:val="20"/>
        </w:rPr>
        <w:t xml:space="preserve"> It is highly </w:t>
      </w:r>
      <w:r w:rsidRPr="000A0C4D">
        <w:rPr>
          <w:szCs w:val="20"/>
        </w:rPr>
        <w:t>characterized by the development of new technologies that demand increased competence</w:t>
      </w:r>
      <w:r w:rsidR="005A3DBD" w:rsidRPr="000A0C4D">
        <w:rPr>
          <w:szCs w:val="20"/>
        </w:rPr>
        <w:t xml:space="preserve"> </w:t>
      </w:r>
      <w:r w:rsidRPr="000A0C4D">
        <w:rPr>
          <w:szCs w:val="20"/>
        </w:rPr>
        <w:fldChar w:fldCharType="begin" w:fldLock="1"/>
      </w:r>
      <w:r w:rsidRPr="000A0C4D">
        <w:rPr>
          <w:szCs w:val="20"/>
        </w:rPr>
        <w:instrText>ADDIN CSL_CITATION {"citationItems":[{"id":"ITEM-1","itemData":{"DOI":"10.1080/02681102.2019.1596654","ISSN":"15540170","abstract":"In this introduction to the special is</w:instrText>
      </w:r>
      <w:r w:rsidRPr="000A0C4D">
        <w:rPr>
          <w:szCs w:val="20"/>
        </w:rPr>
        <w:instrText>sue on the role of information and communication technologies (ICT) in socioeconomic development, we provide a conceptual framework that considers four dimensions that impact socioeconomic development: policy, business, technology, and society. This framew</w:instrText>
      </w:r>
      <w:r w:rsidRPr="000A0C4D">
        <w:rPr>
          <w:szCs w:val="20"/>
        </w:rPr>
        <w:instrText>ork, which is systematically constructed from reviewing several earlier frameworks but more general in focus, is intended to provide context for the eight papers in this special issue, and also guidance for future-related research.","author":[{"dropping-pa</w:instrText>
      </w:r>
      <w:r w:rsidRPr="000A0C4D">
        <w:rPr>
          <w:szCs w:val="20"/>
        </w:rPr>
        <w:instrText>rticle":"","family":"Roztocki","given":"Narcyz","non-dropping-particle":"","parse-names":false,"suffix":""},{"dropping-particle":"","family":"Soja","given":"Piotr","non-dropping-particle":"","parse-names":false,"suffix":""},{"dropping-particle":"","family"</w:instrText>
      </w:r>
      <w:r w:rsidRPr="000A0C4D">
        <w:rPr>
          <w:szCs w:val="20"/>
        </w:rPr>
        <w:instrText xml:space="preserve">:"Weistroffer","given":"Heinz Roland","non-dropping-particle":"","parse-names":false,"suffix":""}],"container-title":"Information Technology for Development","id":"ITEM-1","issue":"2","issued":{"date-parts":[["2019"]]},"page":"171-183","publisher":"Taylor </w:instrText>
      </w:r>
      <w:r w:rsidRPr="000A0C4D">
        <w:rPr>
          <w:szCs w:val="20"/>
        </w:rPr>
        <w:instrText>&amp; Francis","title":"The role of information and communication technologies in socioeconomic development: towards a multi-dimensional framework*","type":"article-journal","volume":"25"},"uris":["http://www.mendeley.com/documents/?uuid=35ba23d7-e8cf-408f-92a</w:instrText>
      </w:r>
      <w:r w:rsidRPr="000A0C4D">
        <w:rPr>
          <w:szCs w:val="20"/>
        </w:rPr>
        <w:instrText>5-fd53497d826a"]}],"mendeley":{"formattedCitation":"(Roztocki et al., 2019)","plainTextFormattedCitation":"(Roztocki et al., 2019)","previouslyFormattedCitation":"(Roztocki et al., 2019)"},"properties":{"noteIndex":0},"schema":"https://github.com/citation-</w:instrText>
      </w:r>
      <w:r w:rsidRPr="000A0C4D">
        <w:rPr>
          <w:szCs w:val="20"/>
        </w:rPr>
        <w:instrText>style-language/schema/raw/master/csl-citation.json"}</w:instrText>
      </w:r>
      <w:r w:rsidRPr="000A0C4D">
        <w:rPr>
          <w:szCs w:val="20"/>
        </w:rPr>
        <w:fldChar w:fldCharType="separate"/>
      </w:r>
      <w:r w:rsidRPr="000A0C4D">
        <w:rPr>
          <w:noProof/>
          <w:szCs w:val="20"/>
        </w:rPr>
        <w:t>(Roztocki et al., 2019).</w:t>
      </w:r>
      <w:r w:rsidRPr="000A0C4D">
        <w:rPr>
          <w:szCs w:val="20"/>
        </w:rPr>
        <w:fldChar w:fldCharType="end"/>
      </w:r>
      <w:r w:rsidR="005A3DBD" w:rsidRPr="000A0C4D">
        <w:rPr>
          <w:szCs w:val="20"/>
        </w:rPr>
        <w:t xml:space="preserve"> </w:t>
      </w:r>
      <w:r w:rsidRPr="000A0C4D">
        <w:rPr>
          <w:szCs w:val="20"/>
        </w:rPr>
        <w:t>In this context, renewal in education and learning must be a continuous and never-ending process. Competency-based education and learning are examples of the results of the cha</w:t>
      </w:r>
      <w:r w:rsidRPr="000A0C4D">
        <w:rPr>
          <w:szCs w:val="20"/>
        </w:rPr>
        <w:t>nge to improve the quality of education and learning</w:t>
      </w:r>
      <w:r w:rsidR="005A3DBD" w:rsidRPr="000A0C4D">
        <w:rPr>
          <w:szCs w:val="20"/>
        </w:rPr>
        <w:t xml:space="preserve"> </w:t>
      </w:r>
      <w:r w:rsidRPr="000A0C4D">
        <w:rPr>
          <w:szCs w:val="20"/>
        </w:rPr>
        <w:fldChar w:fldCharType="begin" w:fldLock="1"/>
      </w:r>
      <w:r w:rsidRPr="000A0C4D">
        <w:rPr>
          <w:szCs w:val="20"/>
        </w:rPr>
        <w:instrText>ADDIN CSL_CITATION {"citationItems":[{"id":"ITEM-1","itemData":{"DOI":"10.1002/jee.20180","ISSN":"10694730","abstract":"Background: Over the past decade, there has been a shift in science, technology, en</w:instrText>
      </w:r>
      <w:r w:rsidRPr="000A0C4D">
        <w:rPr>
          <w:szCs w:val="20"/>
        </w:rPr>
        <w:instrText>gineering and math education, especially in engineering, towards a competency-based pedagogy. Competency-based learning (CBL) is an outcome-based, student-centered form of instruction where students progress to more advanced work upon mastering the necessa</w:instrText>
      </w:r>
      <w:r w:rsidRPr="000A0C4D">
        <w:rPr>
          <w:szCs w:val="20"/>
        </w:rPr>
        <w:instrText>ry prerequisite content and skills. Many articles have been published on the implementation of CBL in engineering higher education; however, the literature lacks a systematic review that summarizes prior work to inform both future research and practice. Pu</w:instrText>
      </w:r>
      <w:r w:rsidRPr="000A0C4D">
        <w:rPr>
          <w:szCs w:val="20"/>
        </w:rPr>
        <w:instrText>rpose: The purpose of this review is to integrate previous literature as well as identify gaps in competency-based engineering higher education research. It summarizes the different approaches for implementing CBL, the effects of the pedagogy on student ou</w:instrText>
      </w:r>
      <w:r w:rsidRPr="000A0C4D">
        <w:rPr>
          <w:szCs w:val="20"/>
        </w:rPr>
        <w:instrText xml:space="preserve">tcomes, tools to enhance its effectiveness, and assessment strategies. In addition, suggestions and recommendations for future research are provided. Method: Engineering education articles were obtained from several EBSCO educational databases. The search </w:instrText>
      </w:r>
      <w:r w:rsidRPr="000A0C4D">
        <w:rPr>
          <w:szCs w:val="20"/>
        </w:rPr>
        <w:instrText>was limited to articles published from 2005-2015, and inclusion criteria consisted of peer-reviewed journal articles that address the use of CBL in engineering higher education. Articles were then classified into several categories, summarized, and evaluat</w:instrText>
      </w:r>
      <w:r w:rsidRPr="000A0C4D">
        <w:rPr>
          <w:szCs w:val="20"/>
        </w:rPr>
        <w:instrText>ed. Conclusions: Theoretical and applied perspectives are provided that address both the theoretical basis for the effectiveness of CBL and practical aspects of implementing successful CBL instruction in engineering education. There are gaps in the literat</w:instrText>
      </w:r>
      <w:r w:rsidRPr="000A0C4D">
        <w:rPr>
          <w:szCs w:val="20"/>
        </w:rPr>
        <w:instrText>ure regarding how CBL programs should be structured and assessed. Future research directions include empirical quantitative evaluation of CBL's pedagogical effectiveness and the use of CBL for teaching professional skills.","author":[{"dropping-particle":"</w:instrText>
      </w:r>
      <w:r w:rsidRPr="000A0C4D">
        <w:rPr>
          <w:szCs w:val="20"/>
        </w:rPr>
        <w:instrText>","family":"Henri","given":"Maria","non-dropping-particle":"","parse-names":false,"suffix":""},{"dropping-particle":"","family":"Johnson","given":"Michael D.","non-dropping-particle":"","parse-names":false,"suffix":""},{"dropping-particle":"","family":"Nep</w:instrText>
      </w:r>
      <w:r w:rsidRPr="000A0C4D">
        <w:rPr>
          <w:szCs w:val="20"/>
        </w:rPr>
        <w:instrText>al","given":"Bimal","non-dropping-particle":"","parse-names":false,"suffix":""}],"container-title":"Journal of Engineering Education","id":"ITEM-1","issue":"4","issued":{"date-parts":[["2017"]]},"page":"607-638","title":"A Review of Competency-Based Learni</w:instrText>
      </w:r>
      <w:r w:rsidRPr="000A0C4D">
        <w:rPr>
          <w:szCs w:val="20"/>
        </w:rPr>
        <w:instrText>ng: Tools, Assessments, and Recommendations","type":"article-journal","volume":"106"},"uris":["http://www.mendeley.com/documents/?uuid=992c90a8-ba22-4f33-a11e-9b3689d31466"]}],"mendeley":{"formattedCitation":"(Henri et al., 2017)","plainTextFormattedCitati</w:instrText>
      </w:r>
      <w:r w:rsidRPr="000A0C4D">
        <w:rPr>
          <w:szCs w:val="20"/>
        </w:rPr>
        <w:instrText>on":"(Henri et al., 2017)","previouslyFormattedCitation":"(Henri et al., 2017)"},"properties":{"noteIndex":0},"schema":"https://github.com/citation-style-language/schema/raw/master/csl-citation.json"}</w:instrText>
      </w:r>
      <w:r w:rsidRPr="000A0C4D">
        <w:rPr>
          <w:szCs w:val="20"/>
        </w:rPr>
        <w:fldChar w:fldCharType="separate"/>
      </w:r>
      <w:r w:rsidRPr="000A0C4D">
        <w:rPr>
          <w:noProof/>
          <w:szCs w:val="20"/>
        </w:rPr>
        <w:t>(Henri et al., 2017)</w:t>
      </w:r>
      <w:r w:rsidRPr="000A0C4D">
        <w:rPr>
          <w:szCs w:val="20"/>
        </w:rPr>
        <w:fldChar w:fldCharType="end"/>
      </w:r>
      <w:r w:rsidRPr="000A0C4D">
        <w:rPr>
          <w:szCs w:val="20"/>
        </w:rPr>
        <w:t>.</w:t>
      </w:r>
      <w:r w:rsidR="005A3DBD" w:rsidRPr="000A0C4D">
        <w:rPr>
          <w:szCs w:val="20"/>
        </w:rPr>
        <w:t xml:space="preserve"> The d</w:t>
      </w:r>
      <w:r w:rsidRPr="000A0C4D">
        <w:rPr>
          <w:szCs w:val="20"/>
        </w:rPr>
        <w:t>evelopment in education fu</w:t>
      </w:r>
      <w:r w:rsidRPr="000A0C4D">
        <w:rPr>
          <w:szCs w:val="20"/>
        </w:rPr>
        <w:t>nctions to develop abilities and shape the character and civilization of a dignified nation to educate the nation's life so that it aims to develop the potential of students to become human beings with character</w:t>
      </w:r>
      <w:r w:rsidR="005A3DBD" w:rsidRPr="000A0C4D">
        <w:rPr>
          <w:szCs w:val="20"/>
        </w:rPr>
        <w:t xml:space="preserve"> </w:t>
      </w:r>
      <w:r w:rsidRPr="000A0C4D">
        <w:rPr>
          <w:szCs w:val="20"/>
        </w:rPr>
        <w:fldChar w:fldCharType="begin" w:fldLock="1"/>
      </w:r>
      <w:r w:rsidRPr="000A0C4D">
        <w:rPr>
          <w:szCs w:val="20"/>
        </w:rPr>
        <w:instrText>ADDIN CSL_CITATION {"citationItems":[{"id":"</w:instrText>
      </w:r>
      <w:r w:rsidRPr="000A0C4D">
        <w:rPr>
          <w:szCs w:val="20"/>
        </w:rPr>
        <w:instrText>ITEM-1","itemData":{"DOI":"10.1080/2331186X.2020.1794495","ISSN":"2331186X","abstract":"Although moral or character education has been widely documented in early childhood education curriculum, the inclusion of character education through storytelling is s</w:instrText>
      </w:r>
      <w:r w:rsidRPr="000A0C4D">
        <w:rPr>
          <w:szCs w:val="20"/>
        </w:rPr>
        <w:instrText>carcely undertaken. To fill the void, the present participatory action research aimed at developing practical steps to empower children character in Indonesian kindergarten schooling framed through storytelling with “Wayang Golek” puppet media. Two kinderg</w:instrText>
      </w:r>
      <w:r w:rsidRPr="000A0C4D">
        <w:rPr>
          <w:szCs w:val="20"/>
        </w:rPr>
        <w:instrText>arten teachers were recruited and 12 kindergarten students ranging from 5 to 6 years old participated in this study. Data of this study were collected primarily from both in and out of classroom observation, classroom interaction record, and photograph ana</w:instrText>
      </w:r>
      <w:r w:rsidRPr="000A0C4D">
        <w:rPr>
          <w:szCs w:val="20"/>
        </w:rPr>
        <w:instrText>lysis. The data of the research were analyzed and interpreted qualitatively through critical discourse analysis as a tool. The findings showcase that practical learning steps including the introduction of themes and character stories, figures of Wayang Gol</w:instrText>
      </w:r>
      <w:r w:rsidRPr="000A0C4D">
        <w:rPr>
          <w:szCs w:val="20"/>
        </w:rPr>
        <w:instrText>ek, storytelling, conversations about character education depicted in the content of the story, actualization of character education through either indoor or outdoor play, and reflection on the character development of children were effective in instilling</w:instrText>
      </w:r>
      <w:r w:rsidRPr="000A0C4D">
        <w:rPr>
          <w:szCs w:val="20"/>
        </w:rPr>
        <w:instrText xml:space="preserve"> moral values to generate positive responses from children. Thus, the study suggests that storytelling mediated puppet as a pedagogical approach engages students in communicative activities and character building in the early childhood education context.",</w:instrText>
      </w:r>
      <w:r w:rsidRPr="000A0C4D">
        <w:rPr>
          <w:szCs w:val="20"/>
        </w:rPr>
        <w:instrText>"author":[{"dropping-particle":"","family":"Halimah","given":"Leli","non-dropping-particle":"","parse-names":false,"suffix":""},{"dropping-particle":"","family":"Arifin","given":"Robandi R.M.","non-dropping-particle":"","parse-names":false,"suffix":""},{"d</w:instrText>
      </w:r>
      <w:r w:rsidRPr="000A0C4D">
        <w:rPr>
          <w:szCs w:val="20"/>
        </w:rPr>
        <w:instrText>ropping-particle":"","family":"Yuliariatiningsih","given":"Margaretha S.","non-dropping-particle":"","parse-names":false,"suffix":""},{"dropping-particle":"","family":"Abdillah","given":"Fauzi","non-dropping-particle":"","parse-names":false,"suffix":""},{"</w:instrText>
      </w:r>
      <w:r w:rsidRPr="000A0C4D">
        <w:rPr>
          <w:szCs w:val="20"/>
        </w:rPr>
        <w:instrText>dropping-particle":"","family":"Sutini","given":"Ai","non-dropping-particle":"","parse-names":false,"suffix":""}],"container-title":"Cogent Education","id":"ITEM-1","issue":"1","issued":{"date-parts":[["2020"]]},"page":"1-12","publisher":"Cogent","title":"</w:instrText>
      </w:r>
      <w:r w:rsidRPr="000A0C4D">
        <w:rPr>
          <w:szCs w:val="20"/>
        </w:rPr>
        <w:instrText>Storytelling through “Wayang Golek” puppet show: Practical ways in incorporating character education in early childhood","type":"article-journal","volume":"7"},"uris":["http://www.mendeley.com/documents/?uuid=f8b4bd90-b2c9-4905-a43c-92d1e51b47eb"]}],"mende</w:instrText>
      </w:r>
      <w:r w:rsidRPr="000A0C4D">
        <w:rPr>
          <w:szCs w:val="20"/>
        </w:rPr>
        <w:instrText>ley":{"formattedCitation":"(Halimah et al., 2020)","plainTextFormattedCitation":"(Halimah et al., 2020)","previouslyFormattedCitation":"(Halimah et al., 2020)"},"properties":{"noteIndex":0},"schema":"https://github.com/citation-style-language/schema/raw/ma</w:instrText>
      </w:r>
      <w:r w:rsidRPr="000A0C4D">
        <w:rPr>
          <w:szCs w:val="20"/>
        </w:rPr>
        <w:instrText>ster/csl-citation.json"}</w:instrText>
      </w:r>
      <w:r w:rsidRPr="000A0C4D">
        <w:rPr>
          <w:szCs w:val="20"/>
        </w:rPr>
        <w:fldChar w:fldCharType="separate"/>
      </w:r>
      <w:r w:rsidRPr="000A0C4D">
        <w:rPr>
          <w:noProof/>
          <w:szCs w:val="20"/>
        </w:rPr>
        <w:t>(Halimah et al., 2020)</w:t>
      </w:r>
      <w:r w:rsidRPr="000A0C4D">
        <w:rPr>
          <w:szCs w:val="20"/>
        </w:rPr>
        <w:fldChar w:fldCharType="end"/>
      </w:r>
      <w:r w:rsidRPr="000A0C4D">
        <w:rPr>
          <w:szCs w:val="20"/>
        </w:rPr>
        <w:t>.</w:t>
      </w:r>
    </w:p>
    <w:p w14:paraId="1148DACC" w14:textId="31076C79" w:rsidR="00092A09" w:rsidRPr="00E02772" w:rsidRDefault="007024BD">
      <w:pPr>
        <w:pStyle w:val="Alishlah31text"/>
        <w:rPr>
          <w:szCs w:val="20"/>
        </w:rPr>
      </w:pPr>
      <w:r w:rsidRPr="00E02772">
        <w:rPr>
          <w:szCs w:val="20"/>
        </w:rPr>
        <w:t>The COVID-19 pandemic has forced teachers and students to carry out distance education, which has never been done simultaneously before. One of the ways to respond to this situation is by utilizing a learn</w:t>
      </w:r>
      <w:r w:rsidRPr="00E02772">
        <w:rPr>
          <w:szCs w:val="20"/>
        </w:rPr>
        <w:t xml:space="preserve">ing model suitable for the pandemic period, namely the </w:t>
      </w:r>
      <w:r w:rsidR="00E02772" w:rsidRPr="00E02772">
        <w:rPr>
          <w:szCs w:val="20"/>
        </w:rPr>
        <w:t>blended learning strategy</w:t>
      </w:r>
      <w:r w:rsidRPr="00E02772">
        <w:rPr>
          <w:szCs w:val="20"/>
        </w:rPr>
        <w:t xml:space="preserve">. </w:t>
      </w:r>
      <w:r w:rsidRPr="00E02772">
        <w:rPr>
          <w:szCs w:val="20"/>
        </w:rPr>
        <w:t xml:space="preserve">The blended Learning </w:t>
      </w:r>
      <w:r w:rsidRPr="00E02772">
        <w:rPr>
          <w:szCs w:val="20"/>
        </w:rPr>
        <w:t xml:space="preserve">Strategy is learning with two methods: face-to-face and online. </w:t>
      </w:r>
      <w:r w:rsidRPr="00E02772">
        <w:rPr>
          <w:szCs w:val="20"/>
        </w:rPr>
        <w:fldChar w:fldCharType="begin" w:fldLock="1"/>
      </w:r>
      <w:r w:rsidRPr="00E02772">
        <w:rPr>
          <w:szCs w:val="20"/>
        </w:rPr>
        <w:instrText>ADDIN CSL_CITATION {"citationItems":[{"id":"ITEM-1","itemData":{"DOI":"10.1080/2331186X.2</w:instrText>
      </w:r>
      <w:r w:rsidRPr="00E02772">
        <w:rPr>
          <w:szCs w:val="20"/>
        </w:rPr>
        <w:instrText xml:space="preserve">021.1914286","ISSN":"2331186X","abstract":"A psychological contract is an individual’s perceived expectation that remains in their mindset and thought process. The purpose of this study is to discover the psychological contract of the student in a blended </w:instrText>
      </w:r>
      <w:r w:rsidRPr="00E02772">
        <w:rPr>
          <w:szCs w:val="20"/>
        </w:rPr>
        <w:instrText>learning setting by exploring his/her expectations of blended learning. Blended learning with its strategic and systematic approach to the integration of online and face-to-face teaching has stirred the interest of many with its promise of flexibility, per</w:instrText>
      </w:r>
      <w:r w:rsidRPr="00E02772">
        <w:rPr>
          <w:szCs w:val="20"/>
        </w:rPr>
        <w:instrText>sonalized learning, ease of accessibility, and student engagement. The methodology adopted is a qualitative methodology using in-depth semi-structured interviews. A sample of 27 tertiary education students in the UAE were interviewed at the start of a 16-w</w:instrText>
      </w:r>
      <w:r w:rsidRPr="00E02772">
        <w:rPr>
          <w:szCs w:val="20"/>
        </w:rPr>
        <w:instrText>eek blended learning course to uncover their expectations. The main finding is that the psychological contract of students in a blended learning setting consists of positive educational and relational expectations towards both the teacher and peers. Positi</w:instrText>
      </w:r>
      <w:r w:rsidRPr="00E02772">
        <w:rPr>
          <w:szCs w:val="20"/>
        </w:rPr>
        <w:instrText>ve expectations of participation, communication and collaboration result from this study as students expect to learn from both their peers and their teachers through blended learning as well to learn autonomously through activities, problem-solving exercis</w:instrText>
      </w:r>
      <w:r w:rsidRPr="00E02772">
        <w:rPr>
          <w:szCs w:val="20"/>
        </w:rPr>
        <w:instrText>es and research.","author":[{"dropping-particle":"","family":"Fenech","given":"Roberta","non-dropping-particle":"","parse-names":false,"suffix":""}],"container-title":"Cogent Education","id":"ITEM-1","issue":"1","issued":{"date-parts":[["2021"]]},"page":"1</w:instrText>
      </w:r>
      <w:r w:rsidRPr="00E02772">
        <w:rPr>
          <w:szCs w:val="20"/>
        </w:rPr>
        <w:instrText>-13","publisher":"Cogent","title":"Blended learning: Honouring students’ Psychological Contract","type":"article-journal","volume":"8"},"uris":["http://www.mendeley.com/documents/?uuid=ab9b658d-4bc1-48e4-8524-3be7bb75a997"]}],"mendeley":{"formattedCitation</w:instrText>
      </w:r>
      <w:r w:rsidRPr="00E02772">
        <w:rPr>
          <w:szCs w:val="20"/>
        </w:rPr>
        <w:instrText>":"(Fenech, 2021)","plainTextFormattedCitation":"(Fenech, 2021)","previouslyFormattedCitation":"(Fenech, 2021)"},"properties":{"noteIndex":0},"schema":"https://github.com/citation-style-language/schema/raw/master/csl-citation.json"}</w:instrText>
      </w:r>
      <w:r w:rsidRPr="00E02772">
        <w:rPr>
          <w:szCs w:val="20"/>
        </w:rPr>
        <w:fldChar w:fldCharType="separate"/>
      </w:r>
      <w:proofErr w:type="gramStart"/>
      <w:r w:rsidRPr="00E02772">
        <w:rPr>
          <w:noProof/>
          <w:szCs w:val="20"/>
        </w:rPr>
        <w:t>(Fenech, 2021)</w:t>
      </w:r>
      <w:r w:rsidRPr="00E02772">
        <w:rPr>
          <w:szCs w:val="20"/>
        </w:rPr>
        <w:fldChar w:fldCharType="end"/>
      </w:r>
      <w:r w:rsidRPr="00E02772">
        <w:rPr>
          <w:szCs w:val="20"/>
        </w:rPr>
        <w:t>.</w:t>
      </w:r>
      <w:proofErr w:type="gramEnd"/>
      <w:r w:rsidRPr="00E02772">
        <w:rPr>
          <w:szCs w:val="20"/>
        </w:rPr>
        <w:t xml:space="preserve"> Durin</w:t>
      </w:r>
      <w:r w:rsidRPr="00E02772">
        <w:rPr>
          <w:szCs w:val="20"/>
        </w:rPr>
        <w:t xml:space="preserve">g the pandemic, </w:t>
      </w:r>
      <w:r w:rsidRPr="00E02772">
        <w:rPr>
          <w:szCs w:val="20"/>
        </w:rPr>
        <w:t xml:space="preserve">Blended Learning-based learning is </w:t>
      </w:r>
      <w:r w:rsidRPr="00E02772">
        <w:rPr>
          <w:szCs w:val="20"/>
        </w:rPr>
        <w:t>often used in schools.</w:t>
      </w:r>
    </w:p>
    <w:p w14:paraId="32FE84D9" w14:textId="77777777" w:rsidR="00092A09" w:rsidRPr="000A0C4D" w:rsidRDefault="007024BD">
      <w:pPr>
        <w:pStyle w:val="Alishlah31text"/>
        <w:rPr>
          <w:szCs w:val="20"/>
        </w:rPr>
      </w:pPr>
      <w:r w:rsidRPr="000A0C4D">
        <w:rPr>
          <w:szCs w:val="20"/>
        </w:rPr>
        <w:t>The government encourages competency-based education and the growth of upper secondary education schools through massive efforts. The government has taken various strategic steps, fr</w:t>
      </w:r>
      <w:r w:rsidRPr="000A0C4D">
        <w:rPr>
          <w:szCs w:val="20"/>
        </w:rPr>
        <w:t>om constructing educational facilities such as school buildings, tools, and practical materials to improving the quality of teachers through training programs and scholarships. Being a professional teacher is a necessity that must be realized. Many teacher</w:t>
      </w:r>
      <w:r w:rsidRPr="000A0C4D">
        <w:rPr>
          <w:szCs w:val="20"/>
        </w:rPr>
        <w:t xml:space="preserve">s are professional but need to have good pedagogical skills. </w:t>
      </w:r>
      <w:r w:rsidRPr="000A0C4D">
        <w:rPr>
          <w:szCs w:val="20"/>
        </w:rPr>
        <w:fldChar w:fldCharType="begin" w:fldLock="1"/>
      </w:r>
      <w:r w:rsidRPr="000A0C4D">
        <w:rPr>
          <w:szCs w:val="20"/>
        </w:rPr>
        <w:instrText>ADDIN CSL_CITATION {"citationItems":[{"id":"ITEM-1","itemData":{"DOI":"10.29303/jppipa.v9i1.2407","author":[{"dropping-particle":"","family":"Muskitta","given":"Marike","non-dropping-particle":""</w:instrText>
      </w:r>
      <w:r w:rsidRPr="000A0C4D">
        <w:rPr>
          <w:szCs w:val="20"/>
        </w:rPr>
        <w:instrText>,"parse-names":false,"suffix":""},{"dropping-particle":"","family":"Batlolona","given":"John Rafafy","non-dropping-particle":"","parse-names":false,"suffix":""},{"dropping-particle":"","family":"Kesaulya","given":"Noke","non-dropping-particle":"","parse-na</w:instrText>
      </w:r>
      <w:r w:rsidRPr="000A0C4D">
        <w:rPr>
          <w:szCs w:val="20"/>
        </w:rPr>
        <w:instrText>mes":false,"suffix":""},{"dropping-particle":"","family":"Manuputty","given":"Damaris","non-dropping-particle":"","parse-names":false,"suffix":""}],"container-title":"Jurnal Penelitian Pendidikan IPA","id":"ITEM-1","issue":"1","issued":{"date-parts":[["202</w:instrText>
      </w:r>
      <w:r w:rsidRPr="000A0C4D">
        <w:rPr>
          <w:szCs w:val="20"/>
        </w:rPr>
        <w:instrText>3"]]},"page":"66-73","title":"Analysis of High School Students ' Difficulties in Writing Scientific Papers","type":"article-journal","volume":"9"},"uris":["http://www.mendeley.com/documents/?uuid=cc82229f-0ff7-4d1f-af3f-1fbb472c922c"]}],"mendeley":{"format</w:instrText>
      </w:r>
      <w:r w:rsidRPr="000A0C4D">
        <w:rPr>
          <w:szCs w:val="20"/>
        </w:rPr>
        <w:instrText>tedCitation":"(Muskitta et al., 2023)","plainTextFormattedCitation":"(Muskitta et al., 2023)","previouslyFormattedCitation":"(Muskitta et al., 2023)"},"properties":{"noteIndex":0},"schema":"https://github.com/citation-style-language/schema/raw/master/csl-c</w:instrText>
      </w:r>
      <w:r w:rsidRPr="000A0C4D">
        <w:rPr>
          <w:szCs w:val="20"/>
        </w:rPr>
        <w:instrText>itation.json"}</w:instrText>
      </w:r>
      <w:r w:rsidRPr="000A0C4D">
        <w:rPr>
          <w:szCs w:val="20"/>
        </w:rPr>
        <w:fldChar w:fldCharType="separate"/>
      </w:r>
      <w:r w:rsidRPr="000A0C4D">
        <w:rPr>
          <w:noProof/>
          <w:szCs w:val="20"/>
        </w:rPr>
        <w:t>(Muskitta et al., 2023).</w:t>
      </w:r>
      <w:r w:rsidRPr="000A0C4D">
        <w:rPr>
          <w:szCs w:val="20"/>
        </w:rPr>
        <w:fldChar w:fldCharType="end"/>
      </w:r>
      <w:r w:rsidR="00F96EB0" w:rsidRPr="000A0C4D">
        <w:rPr>
          <w:szCs w:val="20"/>
        </w:rPr>
        <w:t xml:space="preserve"> </w:t>
      </w:r>
      <w:r w:rsidRPr="000A0C4D">
        <w:rPr>
          <w:szCs w:val="20"/>
        </w:rPr>
        <w:t>Pedagogical skills include the ability to organize educational learning, utilize information and communication technology for learning purposes and facilitate the development of students' potential to actualize the</w:t>
      </w:r>
      <w:r w:rsidRPr="000A0C4D">
        <w:rPr>
          <w:szCs w:val="20"/>
        </w:rPr>
        <w:t xml:space="preserve">ir various potentials. Therefore, the need for teachers' ability to combine various learning resources, use appropriate methods, and master the material is necessary. </w:t>
      </w:r>
      <w:r w:rsidRPr="000A0C4D">
        <w:rPr>
          <w:szCs w:val="20"/>
        </w:rPr>
        <w:fldChar w:fldCharType="begin" w:fldLock="1"/>
      </w:r>
      <w:r w:rsidRPr="000A0C4D">
        <w:rPr>
          <w:szCs w:val="20"/>
        </w:rPr>
        <w:instrText>ADDIN CSL_CITATION {"citationItems":[{"id":"ITEM-1","itemData":{"DOI":"10.3390/su12241036</w:instrText>
      </w:r>
      <w:r w:rsidRPr="000A0C4D">
        <w:rPr>
          <w:szCs w:val="20"/>
        </w:rPr>
        <w:instrText>7","ISSN":"20711050","abstract":"The research focuses on identifying the way in which Romanian universities managed to provide knowledge during the Coronavirus pandemic, when, in a very short time, universities had to adapt the educational process for excl</w:instrText>
      </w:r>
      <w:r w:rsidRPr="000A0C4D">
        <w:rPr>
          <w:szCs w:val="20"/>
        </w:rPr>
        <w:instrText>usively online teaching and learning. In this regard, we analyzed students’ perception regarding online learning, their capacity to assimilate information, and the use of E-learning platforms. An online survey based on a semi-structured questionnaire was c</w:instrText>
      </w:r>
      <w:r w:rsidRPr="000A0C4D">
        <w:rPr>
          <w:szCs w:val="20"/>
        </w:rPr>
        <w:instrText>onducted. Data was collected from 762 students from two of the largest Romanian universities. The results of the research revealed that higher education institutions in Romania were not prepared for exclusively online learning. Thus, the advantages of onli</w:instrText>
      </w:r>
      <w:r w:rsidRPr="000A0C4D">
        <w:rPr>
          <w:szCs w:val="20"/>
        </w:rPr>
        <w:instrText>ne learning identified in other studies seem to diminish in value, while disadvantages become more prominent. The hierarchy of problems that arise in online learning changes in the context of the crisis caused by the pandemic. Technical issues are the most</w:instrText>
      </w:r>
      <w:r w:rsidRPr="000A0C4D">
        <w:rPr>
          <w:szCs w:val="20"/>
        </w:rPr>
        <w:instrText xml:space="preserve"> important, followed by teachers’ lack of technical skills and their teaching style improperly adapted to the online environment. However, the last place was assigned by students to the lack of interaction with teachers or poor communication with them. Bas</w:instrText>
      </w:r>
      <w:r w:rsidRPr="000A0C4D">
        <w:rPr>
          <w:szCs w:val="20"/>
        </w:rPr>
        <w:instrText>ed on these findings, research implications for universities and researchers are discussed.","author":[{"dropping-particle":"","family":"Coman","given":"Claudiu","non-dropping-particle":"","parse-names":false,"suffix":""},{"dropping-particle":"","family":"</w:instrText>
      </w:r>
      <w:r w:rsidRPr="000A0C4D">
        <w:rPr>
          <w:szCs w:val="20"/>
        </w:rPr>
        <w:instrText>Ț</w:instrText>
      </w:r>
      <w:r w:rsidRPr="000A0C4D">
        <w:rPr>
          <w:szCs w:val="20"/>
        </w:rPr>
        <w:instrText>îru","given":"Laurențiu Gabriel","non-dropping-particle":"","parse-names":false,"suffix":""},{"dropping-particle":"","family":"Meseșan-Schmitz","given":"Luiza","non-dropping-particle":"","parse-names":false,"suffix":""},{"dropping-particle":"","family":"S</w:instrText>
      </w:r>
      <w:r w:rsidRPr="000A0C4D">
        <w:rPr>
          <w:szCs w:val="20"/>
        </w:rPr>
        <w:instrText>tanciu","given":"Carmen","non-dropping-particle":"","parse-names":false,"suffix":""},{"dropping-particle":"","family":"Bularca","given":"Maria Cristina","non-dropping-particle":"","parse-names":false,"suffix":""}],"container-title":"Sustainability (Switzer</w:instrText>
      </w:r>
      <w:r w:rsidRPr="000A0C4D">
        <w:rPr>
          <w:szCs w:val="20"/>
        </w:rPr>
        <w:instrText>land)","id":"ITEM-1","issue":"24","issued":{"date-parts":[["2020"]]},"page":"1-22","title":"Online teaching and learning in higher education during the coronavirus pandemic: Students’ perspective","type":"article-journal","volume":"12"},"uris":["http://www</w:instrText>
      </w:r>
      <w:r w:rsidRPr="000A0C4D">
        <w:rPr>
          <w:szCs w:val="20"/>
        </w:rPr>
        <w:instrText>.mendeley.com/documents/?uuid=9ac0ae57-8b85-4ddd-b1fa-899224be9db7"]}],"mendeley":{"formattedCitation":"(Coman et al., 2020)","plainTextFormattedCitation":"(Coman et al., 2020)","previouslyFormattedCitation":"(Coman et al., 2020)"},"properties":{"noteIndex</w:instrText>
      </w:r>
      <w:r w:rsidRPr="000A0C4D">
        <w:rPr>
          <w:szCs w:val="20"/>
        </w:rPr>
        <w:instrText>":0},"schema":"https://github.com/citation-style-language/schema/raw/master/csl-citation.json"}</w:instrText>
      </w:r>
      <w:r w:rsidRPr="000A0C4D">
        <w:rPr>
          <w:szCs w:val="20"/>
        </w:rPr>
        <w:fldChar w:fldCharType="separate"/>
      </w:r>
      <w:proofErr w:type="gramStart"/>
      <w:r w:rsidRPr="000A0C4D">
        <w:rPr>
          <w:noProof/>
          <w:szCs w:val="20"/>
        </w:rPr>
        <w:t>(Coman et al., 2020)</w:t>
      </w:r>
      <w:r w:rsidRPr="000A0C4D">
        <w:rPr>
          <w:szCs w:val="20"/>
        </w:rPr>
        <w:fldChar w:fldCharType="end"/>
      </w:r>
      <w:r w:rsidRPr="000A0C4D">
        <w:rPr>
          <w:szCs w:val="20"/>
        </w:rPr>
        <w:t>.</w:t>
      </w:r>
      <w:proofErr w:type="gramEnd"/>
      <w:r w:rsidRPr="000A0C4D">
        <w:rPr>
          <w:szCs w:val="20"/>
        </w:rPr>
        <w:t xml:space="preserve"> Suppose learning is a process of gaining knowledge. In that case, students should be encouraged to actively construct the knowledge they</w:t>
      </w:r>
      <w:r w:rsidRPr="000A0C4D">
        <w:rPr>
          <w:szCs w:val="20"/>
        </w:rPr>
        <w:t xml:space="preserve"> will get and find various answers to their problems. </w:t>
      </w:r>
      <w:r w:rsidR="00F96EB0" w:rsidRPr="000A0C4D">
        <w:rPr>
          <w:szCs w:val="20"/>
        </w:rPr>
        <w:t>T</w:t>
      </w:r>
      <w:r w:rsidRPr="000A0C4D">
        <w:rPr>
          <w:szCs w:val="20"/>
        </w:rPr>
        <w:t>he teacher acts as a facilitator and motivator in learning</w:t>
      </w:r>
      <w:r w:rsidR="00F96EB0" w:rsidRPr="000A0C4D">
        <w:rPr>
          <w:szCs w:val="20"/>
        </w:rPr>
        <w:t>.</w:t>
      </w:r>
      <w:r w:rsidRPr="000A0C4D">
        <w:rPr>
          <w:szCs w:val="20"/>
        </w:rPr>
        <w:t xml:space="preserve"> </w:t>
      </w:r>
      <w:r w:rsidR="00F96EB0" w:rsidRPr="000A0C4D">
        <w:rPr>
          <w:szCs w:val="20"/>
        </w:rPr>
        <w:t>T</w:t>
      </w:r>
      <w:r w:rsidRPr="000A0C4D">
        <w:rPr>
          <w:szCs w:val="20"/>
        </w:rPr>
        <w:t xml:space="preserve">hrough this role, the teacher should actively develop interactive and meaningful learning concepts and methods for students. </w:t>
      </w:r>
      <w:r w:rsidRPr="000A0C4D">
        <w:rPr>
          <w:szCs w:val="20"/>
        </w:rPr>
        <w:fldChar w:fldCharType="begin" w:fldLock="1"/>
      </w:r>
      <w:r w:rsidRPr="000A0C4D">
        <w:rPr>
          <w:szCs w:val="20"/>
        </w:rPr>
        <w:instrText>ADDIN CSL_CITAT</w:instrText>
      </w:r>
      <w:r w:rsidRPr="000A0C4D">
        <w:rPr>
          <w:szCs w:val="20"/>
        </w:rPr>
        <w:instrText>ION {"citationItems":[{"id":"ITEM-1","itemData":{"DOI":"10.11591/edulearn.v12i3.8978","ISSN":"2089-9823","abstract":"Students use different styles or ways of receiving and managing information during learning. VARK learning style was developed based on the</w:instrText>
      </w:r>
      <w:r w:rsidRPr="000A0C4D">
        <w:rPr>
          <w:szCs w:val="20"/>
        </w:rPr>
        <w:instrText xml:space="preserve"> physiological aspect of students in the form of sensory modalities. This survey research was conducted at 30 elementary schools in Ambon City. The data of student learning was obtained by filling out the learning style questionnaire developed by Fleming. </w:instrText>
      </w:r>
      <w:r w:rsidRPr="000A0C4D">
        <w:rPr>
          <w:szCs w:val="20"/>
        </w:rPr>
        <w:instrText>The results showed that 88.7% of students used a learning style (unimodal) and 11.3% of students combined more than one learning style (multimodal). For the unimodal learning styles, kinesthetic is most prevalent in male and female students with a percenta</w:instrText>
      </w:r>
      <w:r w:rsidRPr="000A0C4D">
        <w:rPr>
          <w:szCs w:val="20"/>
        </w:rPr>
        <w:instrText>ge of 58.6%, whereas visuals are least found with a percentage of 6%. The study also revealed that multimodal learning styles were found at all bimodal, trimodal, and quadmodal combinations. The more blend of learning style, hence the frequency of determin</w:instrText>
      </w:r>
      <w:r w:rsidRPr="000A0C4D">
        <w:rPr>
          <w:szCs w:val="20"/>
        </w:rPr>
        <w:instrText>ation of student learning style even less.. The combination of multiple unimodal learning styles with large numbers will result in multimodal learning styles with large numbers.","author":[{"dropping-particle":"","family":"Leasa","given":"Marleny","non-dro</w:instrText>
      </w:r>
      <w:r w:rsidRPr="000A0C4D">
        <w:rPr>
          <w:szCs w:val="20"/>
        </w:rPr>
        <w:instrText>pping-particle":"","parse-names":false,"suffix":""},{"dropping-particle":"","family":"Batlolona","given":"John Rafafy","non-dropping-particle":"","parse-names":false,"suffix":""},{"dropping-particle":"","family":"Enriquez","given":"Javier Julian","non-drop</w:instrText>
      </w:r>
      <w:r w:rsidRPr="000A0C4D">
        <w:rPr>
          <w:szCs w:val="20"/>
        </w:rPr>
        <w:instrText>ping-particle":"","parse-names":false,"suffix":""},{"dropping-particle":"","family":"Kurnaz","given":"Mehmet Altan","non-dropping-particle":"","parse-names":false,"suffix":""}],"container-title":"Journal of Education and Learning (EduLearn)","id":"ITEM-1",</w:instrText>
      </w:r>
      <w:r w:rsidRPr="000A0C4D">
        <w:rPr>
          <w:szCs w:val="20"/>
        </w:rPr>
        <w:instrText>"issue":"3","issued":{"date-parts":[["2018"]]},"page":"478-486","title":"Determination Of Elementary Students’ Learning Styles Reviewed From Gender Aspects","type":"article-journal","volume":"12"},"uris":["http://www.mendeley.com/documents/?uuid=acadf7d5-d</w:instrText>
      </w:r>
      <w:r w:rsidRPr="000A0C4D">
        <w:rPr>
          <w:szCs w:val="20"/>
        </w:rPr>
        <w:instrText>a2d-4b93-8186-0e641eee7b52"]}],"mendeley":{"formattedCitation":"(Leasa et al., 2018)","plainTextFormattedCitation":"(Leasa et al., 2018)","previouslyFormattedCitation":"(Leasa et al., 2018)"},"properties":{"noteIndex":0},"schema":"https://github.com/citati</w:instrText>
      </w:r>
      <w:r w:rsidRPr="000A0C4D">
        <w:rPr>
          <w:szCs w:val="20"/>
        </w:rPr>
        <w:instrText>on-style-language/schema/raw/master/csl-citation.json"}</w:instrText>
      </w:r>
      <w:r w:rsidRPr="000A0C4D">
        <w:rPr>
          <w:szCs w:val="20"/>
        </w:rPr>
        <w:fldChar w:fldCharType="separate"/>
      </w:r>
      <w:proofErr w:type="gramStart"/>
      <w:r w:rsidRPr="000A0C4D">
        <w:rPr>
          <w:noProof/>
          <w:szCs w:val="20"/>
        </w:rPr>
        <w:t>(Leasa et al., 2018)</w:t>
      </w:r>
      <w:r w:rsidRPr="000A0C4D">
        <w:rPr>
          <w:szCs w:val="20"/>
        </w:rPr>
        <w:fldChar w:fldCharType="end"/>
      </w:r>
      <w:r w:rsidRPr="000A0C4D">
        <w:rPr>
          <w:szCs w:val="20"/>
        </w:rPr>
        <w:t>.</w:t>
      </w:r>
      <w:proofErr w:type="gramEnd"/>
      <w:r w:rsidRPr="000A0C4D">
        <w:rPr>
          <w:szCs w:val="20"/>
        </w:rPr>
        <w:t xml:space="preserve">  However, most teachers still use conventional learning models like face-to-face learning. </w:t>
      </w:r>
      <w:r w:rsidRPr="000A0C4D">
        <w:rPr>
          <w:szCs w:val="20"/>
        </w:rPr>
        <w:fldChar w:fldCharType="begin" w:fldLock="1"/>
      </w:r>
      <w:r w:rsidRPr="000A0C4D">
        <w:rPr>
          <w:szCs w:val="20"/>
        </w:rPr>
        <w:instrText>ADDIN CSL_CITATION {"citationItems":[{"id":"ITEM-1","itemData":{"DOI":"10.1177/004723</w:instrText>
      </w:r>
      <w:r w:rsidRPr="000A0C4D">
        <w:rPr>
          <w:szCs w:val="20"/>
        </w:rPr>
        <w:instrText>95211047865","ISBN":"0047239521104","ISSN":"0047-2395","abstract":"The coronavirus disease 2019 (COVID-19) pandemic has changed the landscape of higher education. As academic institutions across the world continue to deal with the global health crisis, the</w:instrText>
      </w:r>
      <w:r w:rsidRPr="000A0C4D">
        <w:rPr>
          <w:szCs w:val="20"/>
        </w:rPr>
        <w:instrText xml:space="preserve">re is a need to examine different instructional approaches including online, hybrid, and blended learning methods. This descriptive study provide an in-depth review of the history of blended learning, evolution of hybrid model of instruction, preparedness </w:instrText>
      </w:r>
      <w:r w:rsidRPr="000A0C4D">
        <w:rPr>
          <w:szCs w:val="20"/>
        </w:rPr>
        <w:instrText>of faculty with minimal or no experience in online teaching, and lessons learned as faculty worked on navigating COVID-19 situation since early 2020. A fish-bone analysis, a visual and structured approach to identify possible causes of problem, has been us</w:instrText>
      </w:r>
      <w:r w:rsidRPr="000A0C4D">
        <w:rPr>
          <w:szCs w:val="20"/>
        </w:rPr>
        <w:instrText>ed to present the problems faced by faculty during the pandemic. A detailed Strength–Weakness–Opportunities–Threat analysis of blended/hybrid learning has been presented. An evidence-based approach on how instructors can combine the best of both traditiona</w:instrText>
      </w:r>
      <w:r w:rsidRPr="000A0C4D">
        <w:rPr>
          <w:szCs w:val="20"/>
        </w:rPr>
        <w:instrText xml:space="preserve">l and online instruction to offer engaging learning experiences for students has been described. This research provides valuable insights to faculty and administrators who are preparing to teach during a pandemic and making efforts to academically survive </w:instrText>
      </w:r>
      <w:r w:rsidRPr="000A0C4D">
        <w:rPr>
          <w:szCs w:val="20"/>
        </w:rPr>
        <w:instrText>it.","author":[{"dropping-particle":"","family":"Singh","given":"Jitendra","non-dropping-particle":"","parse-names":false,"suffix":""},{"dropping-particle":"","family":"Steele","given":"Keely","non-dropping-particle":"","parse-names":false,"suffix":""},{"d</w:instrText>
      </w:r>
      <w:r w:rsidRPr="000A0C4D">
        <w:rPr>
          <w:szCs w:val="20"/>
        </w:rPr>
        <w:instrText>ropping-particle":"","family":"Singh","given":"Lovely","non-dropping-particle":"","parse-names":false,"suffix":""}],"container-title":"Journal of Educational Technology Systems","id":"ITEM-1","issue":"2","issued":{"date-parts":[["2021"]]},"number-of-pages"</w:instrText>
      </w:r>
      <w:r w:rsidRPr="000A0C4D">
        <w:rPr>
          <w:szCs w:val="20"/>
        </w:rPr>
        <w:instrText>:"140-171","title":"Combining the Best of Online and Face-to-Face Learning: Hybrid and Blended Learning Approach for COVID-19, Post Vaccine, &amp; Post-Pandemic World","type":"book","volume":"50"},"uris":["http://www.mendeley.com/documents/?uuid=4a8b224a-9425-</w:instrText>
      </w:r>
      <w:r w:rsidRPr="000A0C4D">
        <w:rPr>
          <w:szCs w:val="20"/>
        </w:rPr>
        <w:instrText>4aa8-a3d1-0ed486cef20d"]}],"mendeley":{"formattedCitation":"(Singh et al., 2021)","plainTextFormattedCitation":"(Singh et al., 2021)","previouslyFormattedCitation":"(Singh et al., 2021)"},"properties":{"noteIndex":0},"schema":"https://github.com/citation-s</w:instrText>
      </w:r>
      <w:r w:rsidRPr="000A0C4D">
        <w:rPr>
          <w:szCs w:val="20"/>
        </w:rPr>
        <w:instrText>tyle-language/schema/raw/master/csl-citation.json"}</w:instrText>
      </w:r>
      <w:r w:rsidRPr="000A0C4D">
        <w:rPr>
          <w:szCs w:val="20"/>
        </w:rPr>
        <w:fldChar w:fldCharType="separate"/>
      </w:r>
      <w:proofErr w:type="gramStart"/>
      <w:r w:rsidRPr="000A0C4D">
        <w:rPr>
          <w:noProof/>
          <w:szCs w:val="20"/>
        </w:rPr>
        <w:t>(Singh et al., 2021)</w:t>
      </w:r>
      <w:r w:rsidRPr="000A0C4D">
        <w:rPr>
          <w:szCs w:val="20"/>
        </w:rPr>
        <w:fldChar w:fldCharType="end"/>
      </w:r>
      <w:r w:rsidRPr="000A0C4D">
        <w:rPr>
          <w:szCs w:val="20"/>
        </w:rPr>
        <w:t>.</w:t>
      </w:r>
      <w:proofErr w:type="gramEnd"/>
      <w:r w:rsidRPr="000A0C4D">
        <w:rPr>
          <w:szCs w:val="20"/>
        </w:rPr>
        <w:t xml:space="preserve"> </w:t>
      </w:r>
      <w:r w:rsidR="00410A1B" w:rsidRPr="000A0C4D">
        <w:rPr>
          <w:szCs w:val="20"/>
        </w:rPr>
        <w:t>C</w:t>
      </w:r>
      <w:r w:rsidRPr="000A0C4D">
        <w:rPr>
          <w:szCs w:val="20"/>
        </w:rPr>
        <w:t>ivilization has experienced a shift from the analog world to the digital dimension through the rapid advancement of information technology. At the same time, teachers are challeng</w:t>
      </w:r>
      <w:r w:rsidRPr="000A0C4D">
        <w:rPr>
          <w:szCs w:val="20"/>
        </w:rPr>
        <w:t>ed to combine traditional learning models and advances in information technology to compensate for students' diverse learning styles</w:t>
      </w:r>
      <w:r w:rsidR="00410A1B" w:rsidRPr="000A0C4D">
        <w:rPr>
          <w:szCs w:val="20"/>
        </w:rPr>
        <w:t xml:space="preserve"> </w:t>
      </w:r>
      <w:r w:rsidRPr="000A0C4D">
        <w:rPr>
          <w:szCs w:val="20"/>
        </w:rPr>
        <w:fldChar w:fldCharType="begin" w:fldLock="1"/>
      </w:r>
      <w:r w:rsidRPr="000A0C4D">
        <w:rPr>
          <w:szCs w:val="20"/>
        </w:rPr>
        <w:instrText>ADDIN CSL_CITATION {"citationItems":[{"id":"ITEM-1","itemData":{"DOI":"10.29303/jppipa.v8i2.1344","ISSN":"2460-2582","abstr</w:instrText>
      </w:r>
      <w:r w:rsidRPr="000A0C4D">
        <w:rPr>
          <w:szCs w:val="20"/>
        </w:rPr>
        <w:instrText>act":".","author":[{"dropping-particle":"","family":"Batlolona","given":"John Rafafy","non-dropping-particle":"","parse-names":false,"suffix":""},{"dropping-particle":"","family":"Jamaludin","given":"Jamaludin","non-dropping-particle":"","parse-names":fals</w:instrText>
      </w:r>
      <w:r w:rsidRPr="000A0C4D">
        <w:rPr>
          <w:szCs w:val="20"/>
        </w:rPr>
        <w:instrText>e,"suffix":""}],"container-title":"Jurnal Penelitian Pendidikan IPA","id":"ITEM-1","issue":"2","issued":{"date-parts":[["2022"]]},"page":"592-598","title":"Physics Problem Solving Skills with IBL-STEMWeb: Students on Small Islands in Maluku","type":"articl</w:instrText>
      </w:r>
      <w:r w:rsidRPr="000A0C4D">
        <w:rPr>
          <w:szCs w:val="20"/>
        </w:rPr>
        <w:instrText>e-journal","volume":"8"},"uris":["http://www.mendeley.com/documents/?uuid=f83d093e-5306-4e53-84ad-4d076bb77b1d"]}],"mendeley":{"formattedCitation":"(Batlolona &amp; Jamaludin, 2022)","plainTextFormattedCitation":"(Batlolona &amp; Jamaludin, 2022)","previouslyForma</w:instrText>
      </w:r>
      <w:r w:rsidRPr="000A0C4D">
        <w:rPr>
          <w:szCs w:val="20"/>
        </w:rPr>
        <w:instrText>ttedCitation":"(Batlolona &amp; Jamaludin, 2022)"},"properties":{"noteIndex":0},"schema":"https://github.com/citation-style-language/schema/raw/master/csl-citation.json"}</w:instrText>
      </w:r>
      <w:r w:rsidRPr="000A0C4D">
        <w:rPr>
          <w:szCs w:val="20"/>
        </w:rPr>
        <w:fldChar w:fldCharType="separate"/>
      </w:r>
      <w:r w:rsidRPr="000A0C4D">
        <w:rPr>
          <w:noProof/>
          <w:szCs w:val="20"/>
        </w:rPr>
        <w:t>(Batlolona &amp; Jamaludin, 2022).</w:t>
      </w:r>
      <w:r w:rsidRPr="000A0C4D">
        <w:rPr>
          <w:szCs w:val="20"/>
        </w:rPr>
        <w:fldChar w:fldCharType="end"/>
      </w:r>
    </w:p>
    <w:p w14:paraId="693B5045" w14:textId="7B5452CB" w:rsidR="00092A09" w:rsidRPr="000A0C4D" w:rsidRDefault="007024BD">
      <w:pPr>
        <w:pStyle w:val="Alishlah31text"/>
        <w:rPr>
          <w:szCs w:val="20"/>
        </w:rPr>
      </w:pPr>
      <w:r w:rsidRPr="000A0C4D">
        <w:rPr>
          <w:szCs w:val="20"/>
        </w:rPr>
        <w:t>One of the learning strategies developed using informati</w:t>
      </w:r>
      <w:r w:rsidRPr="000A0C4D">
        <w:rPr>
          <w:szCs w:val="20"/>
        </w:rPr>
        <w:t xml:space="preserve">on technology is the </w:t>
      </w:r>
      <w:r w:rsidR="00E02772" w:rsidRPr="00E02772">
        <w:rPr>
          <w:szCs w:val="20"/>
        </w:rPr>
        <w:t>blended learning</w:t>
      </w:r>
      <w:r w:rsidR="00E02772" w:rsidRPr="000A0C4D">
        <w:rPr>
          <w:i/>
          <w:szCs w:val="20"/>
        </w:rPr>
        <w:t xml:space="preserve"> </w:t>
      </w:r>
      <w:r w:rsidRPr="000A0C4D">
        <w:rPr>
          <w:szCs w:val="20"/>
        </w:rPr>
        <w:t>strategy. BL is a learning method that combines the advantages of face-to-face learning with virtual/media or online learning</w:t>
      </w:r>
      <w:r w:rsidR="00410A1B" w:rsidRPr="000A0C4D">
        <w:rPr>
          <w:szCs w:val="20"/>
        </w:rPr>
        <w:t xml:space="preserve"> </w:t>
      </w:r>
      <w:r w:rsidRPr="000A0C4D">
        <w:rPr>
          <w:szCs w:val="20"/>
        </w:rPr>
        <w:fldChar w:fldCharType="begin" w:fldLock="1"/>
      </w:r>
      <w:r w:rsidRPr="000A0C4D">
        <w:rPr>
          <w:szCs w:val="20"/>
        </w:rPr>
        <w:instrText>ADDIN CSL_CITATION {"citationItems":[{"id":"ITEM-1","itemData":{"DOI":"10.1080/23322969.2021</w:instrText>
      </w:r>
      <w:r w:rsidRPr="000A0C4D">
        <w:rPr>
          <w:szCs w:val="20"/>
        </w:rPr>
        <w:instrText>.1873348","ISSN":"23322950","author":[{"dropping-particle":"","family":"Hazelkorn","given":"Ellen","non-dropping-particle":"","parse-names":false,"suffix":""},{"dropping-particle":"","family":"Locke","given":"William","non-dropping-particle":"","parse-name</w:instrText>
      </w:r>
      <w:r w:rsidRPr="000A0C4D">
        <w:rPr>
          <w:szCs w:val="20"/>
        </w:rPr>
        <w:instrText>s":false,"suffix":""}],"container-title":"Policy Reviews in Higher Education","id":"ITEM-1","issue":"1","issued":{"date-parts":[["2021"]]},"page":"1-4","publisher":"Taylor &amp; Francis","title":"Blended learning is dead, long live blended learning!","type":"a</w:instrText>
      </w:r>
      <w:r w:rsidRPr="000A0C4D">
        <w:rPr>
          <w:szCs w:val="20"/>
        </w:rPr>
        <w:instrText>rticle-journal","volume":"5"},"uris":["http://www.mendeley.com/documents/?uuid=c1de3aff-f56a-412d-88b3-5bce23de0c50"]}],"mendeley":{"formattedCitation":"(Hazelkorn &amp; Locke, 2021)","plainTextFormattedCitation":"(Hazelkorn &amp; Locke, 2021)","previouslyFormatte</w:instrText>
      </w:r>
      <w:r w:rsidRPr="000A0C4D">
        <w:rPr>
          <w:szCs w:val="20"/>
        </w:rPr>
        <w:instrText>dCitation":"(Hazelkorn &amp; Locke, 2021)"},"properties":{"noteIndex":0},"schema":"https://github.com/citation-style-language/schema/raw/master/csl-citation.json"}</w:instrText>
      </w:r>
      <w:r w:rsidRPr="000A0C4D">
        <w:rPr>
          <w:szCs w:val="20"/>
        </w:rPr>
        <w:fldChar w:fldCharType="separate"/>
      </w:r>
      <w:r w:rsidRPr="000A0C4D">
        <w:rPr>
          <w:noProof/>
          <w:szCs w:val="20"/>
        </w:rPr>
        <w:t>(Hazelkorn &amp; Locke, 2021).</w:t>
      </w:r>
      <w:r w:rsidRPr="000A0C4D">
        <w:rPr>
          <w:szCs w:val="20"/>
        </w:rPr>
        <w:fldChar w:fldCharType="end"/>
      </w:r>
      <w:r w:rsidRPr="000A0C4D">
        <w:rPr>
          <w:szCs w:val="20"/>
        </w:rPr>
        <w:t xml:space="preserve"> The purpose of developing bl</w:t>
      </w:r>
      <w:r w:rsidR="00410A1B" w:rsidRPr="000A0C4D">
        <w:rPr>
          <w:szCs w:val="20"/>
        </w:rPr>
        <w:t>e</w:t>
      </w:r>
      <w:r w:rsidRPr="000A0C4D">
        <w:rPr>
          <w:szCs w:val="20"/>
        </w:rPr>
        <w:t>nded learning is to combine the best f</w:t>
      </w:r>
      <w:r w:rsidRPr="000A0C4D">
        <w:rPr>
          <w:szCs w:val="20"/>
        </w:rPr>
        <w:t xml:space="preserve">eatures of classroom learning (face-to-face) and the best features of online learning with improving active self-learning by students. </w:t>
      </w:r>
      <w:r w:rsidRPr="000A0C4D">
        <w:rPr>
          <w:szCs w:val="20"/>
        </w:rPr>
        <w:fldChar w:fldCharType="begin" w:fldLock="1"/>
      </w:r>
      <w:r w:rsidRPr="000A0C4D">
        <w:rPr>
          <w:szCs w:val="20"/>
        </w:rPr>
        <w:instrText>ADDIN CSL_CITATION {"citationItems":[{"id":"ITEM-1","itemData":{"DOI":"10.1080/02680513.2018.1554475","ISSN":"14699958","</w:instrText>
      </w:r>
      <w:r w:rsidRPr="000A0C4D">
        <w:rPr>
          <w:szCs w:val="20"/>
        </w:rPr>
        <w:instrText>abstract":"This paper examines a blended learning model designed to support women returning to STEM after a career break and its delivery in a unique partnership between an online distance education provider and a community-based equality organisation. Thr</w:instrText>
      </w:r>
      <w:r w:rsidRPr="000A0C4D">
        <w:rPr>
          <w:szCs w:val="20"/>
        </w:rPr>
        <w:instrText>ough this partnership additional activities such as networking events, returnships, career clinics and webinars were used in conjunction with a structured online Badged Open Course (BOC), which enabled a successful return to employment for many of the part</w:instrText>
      </w:r>
      <w:r w:rsidRPr="000A0C4D">
        <w:rPr>
          <w:szCs w:val="20"/>
        </w:rPr>
        <w:instrText>icipants. This article outlines the results and implications of this integrated model and argues that blended learning approaches need to be flexible and adaptable to be able to incorporate the needs of learners at different life-course stages, taking into</w:instrText>
      </w:r>
      <w:r w:rsidRPr="000A0C4D">
        <w:rPr>
          <w:szCs w:val="20"/>
        </w:rPr>
        <w:instrText xml:space="preserve"> consideration gender and other diversity characteristics.","author":[{"dropping-particle":"","family":"Herman","given":"Clem","non-dropping-particle":"","parse-names":false,"suffix":""},{"dropping-particle":"","family":"Gracia","given":"Rosaria","non-drop</w:instrText>
      </w:r>
      <w:r w:rsidRPr="000A0C4D">
        <w:rPr>
          <w:szCs w:val="20"/>
        </w:rPr>
        <w:instrText>ping-particle":"","parse-names":false,"suffix":""},{"dropping-particle":"","family":"Macniven","given":"Lesley","non-dropping-particle":"","parse-names":false,"suffix":""},{"dropping-particle":"","family":"Clark","given":"Bernie","non-dropping-particle":""</w:instrText>
      </w:r>
      <w:r w:rsidRPr="000A0C4D">
        <w:rPr>
          <w:szCs w:val="20"/>
        </w:rPr>
        <w:instrText>,"parse-names":false,"suffix":""},{"dropping-particle":"","family":"Doyle","given":"Geraldine","non-dropping-particle":"","parse-names":false,"suffix":""}],"container-title":"Open Learning","id":"ITEM-1","issue":"1","issued":{"date-parts":[["2019"]]},"page</w:instrText>
      </w:r>
      <w:r w:rsidRPr="000A0C4D">
        <w:rPr>
          <w:szCs w:val="20"/>
        </w:rPr>
        <w:instrText>":"40-60","publisher":"Routledge","title":"Using a blended learning approach to support women returning to STEM","type":"article-journal","volume":"34"},"uris":["http://www.mendeley.com/documents/?uuid=82e0c0b6-f96f-4877-ab9d-fe2f91e51fa4"]}],"mendeley":{"</w:instrText>
      </w:r>
      <w:r w:rsidRPr="000A0C4D">
        <w:rPr>
          <w:szCs w:val="20"/>
        </w:rPr>
        <w:instrText>formattedCitation":"(Herman et al., 2019)","plainTextFormattedCitation":"(Herman et al., 2019)","previouslyFormattedCitation":"(Herman et al., 2019)"},"properties":{"noteIndex":0},"schema":"https://github.com/citation-style-language/schema/raw/master/csl-c</w:instrText>
      </w:r>
      <w:r w:rsidRPr="000A0C4D">
        <w:rPr>
          <w:szCs w:val="20"/>
        </w:rPr>
        <w:instrText>itation.json"}</w:instrText>
      </w:r>
      <w:r w:rsidRPr="000A0C4D">
        <w:rPr>
          <w:szCs w:val="20"/>
        </w:rPr>
        <w:fldChar w:fldCharType="separate"/>
      </w:r>
      <w:proofErr w:type="gramStart"/>
      <w:r w:rsidRPr="000A0C4D">
        <w:rPr>
          <w:noProof/>
          <w:szCs w:val="20"/>
        </w:rPr>
        <w:t>(Herman et al., 2019)</w:t>
      </w:r>
      <w:r w:rsidRPr="000A0C4D">
        <w:rPr>
          <w:szCs w:val="20"/>
        </w:rPr>
        <w:fldChar w:fldCharType="end"/>
      </w:r>
      <w:r w:rsidRPr="000A0C4D">
        <w:rPr>
          <w:szCs w:val="20"/>
        </w:rPr>
        <w:t>.</w:t>
      </w:r>
      <w:proofErr w:type="gramEnd"/>
    </w:p>
    <w:p w14:paraId="0726327A" w14:textId="3AB638EB" w:rsidR="00727D5A" w:rsidRDefault="007024BD" w:rsidP="00E02772">
      <w:pPr>
        <w:pStyle w:val="Alishlah31text"/>
        <w:rPr>
          <w:spacing w:val="-2"/>
          <w:lang w:val="en-ID" w:eastAsia="zh-CN"/>
        </w:rPr>
      </w:pPr>
      <w:r w:rsidRPr="000A0C4D">
        <w:rPr>
          <w:szCs w:val="20"/>
        </w:rPr>
        <w:t xml:space="preserve">Motivation is one of the important determinants in the learning process. Motivation in learning plays a role in fostering passion, </w:t>
      </w:r>
      <w:r w:rsidR="00976F6A" w:rsidRPr="000A0C4D">
        <w:rPr>
          <w:szCs w:val="20"/>
        </w:rPr>
        <w:t>happiness</w:t>
      </w:r>
      <w:r w:rsidRPr="000A0C4D">
        <w:rPr>
          <w:szCs w:val="20"/>
        </w:rPr>
        <w:t xml:space="preserve">, and enthusiasm for learning. Students with strong motivation will have much energy to carry out learning activities </w:t>
      </w:r>
      <w:r w:rsidRPr="000A0C4D">
        <w:rPr>
          <w:szCs w:val="20"/>
        </w:rPr>
        <w:fldChar w:fldCharType="begin" w:fldLock="1"/>
      </w:r>
      <w:r w:rsidRPr="000A0C4D">
        <w:rPr>
          <w:szCs w:val="20"/>
        </w:rPr>
        <w:instrText>ADDIN CSL_CITATION {"citationItems":[{"id":"ITEM-1","itemData":{"DOI":"10.1080/09585192.2018.1441164","ISSN":"14664399","abstract":"Traini</w:instrText>
      </w:r>
      <w:r w:rsidRPr="000A0C4D">
        <w:rPr>
          <w:szCs w:val="20"/>
        </w:rPr>
        <w:instrText>ng is recommended as an important human resource management (HRM) practice to prevent mistreatment and enhance civility, but little is known about what influences the effectiveness of civility training. The central aim of this study was to address how work</w:instrText>
      </w:r>
      <w:r w:rsidRPr="000A0C4D">
        <w:rPr>
          <w:szCs w:val="20"/>
        </w:rPr>
        <w:instrText>group conditions influence employees' attitudes about civility training and motivation to learn, which previous research shows is a predictor of training outcomes. Predictors were posited to include psychological and workgroup climate for civility, and per</w:instrText>
      </w:r>
      <w:r w:rsidRPr="000A0C4D">
        <w:rPr>
          <w:szCs w:val="20"/>
        </w:rPr>
        <w:instrText>sonal and ambient mistreatment experiences. These predictors were hypothesized to drive positive (training discrepancy) and negative (training skepticism) pre‐training attitudes, which in turn were expected to influence motivation to learn. Results suggest</w:instrText>
      </w:r>
      <w:r w:rsidRPr="000A0C4D">
        <w:rPr>
          <w:szCs w:val="20"/>
        </w:rPr>
        <w:instrText xml:space="preserve"> the influence of climate for civility and mistreatment experiences on motivation to learn is largely indirect via pre‐training attitudes. Training skepticism and training discrepancy have conflicting influences on motivation to learn. Findings provide an </w:instrText>
      </w:r>
      <w:r w:rsidRPr="000A0C4D">
        <w:rPr>
          <w:szCs w:val="20"/>
        </w:rPr>
        <w:instrText>empirical basis for HRM professionals to maximize employee motivation to learn in their own civility interventions.","author":[{"dropping-particle":"","family":"Walsh","given":"Benjamin M.","non-dropping-particle":"","parse-names":false,"suffix":""},{"drop</w:instrText>
      </w:r>
      <w:r w:rsidRPr="000A0C4D">
        <w:rPr>
          <w:szCs w:val="20"/>
        </w:rPr>
        <w:instrText>ping-particle":"","family":"Magley","given":"Vicki J.","non-dropping-particle":"","parse-names":false,"suffix":""}],"container-title":"International Journal of Human Resource Management","id":"ITEM-1","issue":"17","issued":{"date-parts":[["2020"]]},"page":</w:instrText>
      </w:r>
      <w:r w:rsidRPr="000A0C4D">
        <w:rPr>
          <w:szCs w:val="20"/>
        </w:rPr>
        <w:instrText>"2165-2187","publisher":"Routledge","title":"Workplace civility training: understanding drivers of motivation to learn","type":"article-journal","volume":"31"},"uris":["http://www.mendeley.com/documents/?uuid=ff58bfea-fdf3-42e0-8c22-40b7bf820227"]}],"mende</w:instrText>
      </w:r>
      <w:r w:rsidRPr="000A0C4D">
        <w:rPr>
          <w:szCs w:val="20"/>
        </w:rPr>
        <w:instrText>ley":{"formattedCitation":"(Walsh &amp; Magley, 2020)","plainTextFormattedCitation":"(Walsh &amp; Magley, 2020)","previouslyFormattedCitation":"(Walsh &amp; Magley, 2020)"},"properties":{"noteIndex":0},"schema":"https://github.com/citation-style-language/schema/raw/ma</w:instrText>
      </w:r>
      <w:r w:rsidRPr="000A0C4D">
        <w:rPr>
          <w:szCs w:val="20"/>
        </w:rPr>
        <w:instrText>ster/csl-citation.json"}</w:instrText>
      </w:r>
      <w:r w:rsidRPr="000A0C4D">
        <w:rPr>
          <w:szCs w:val="20"/>
        </w:rPr>
        <w:fldChar w:fldCharType="separate"/>
      </w:r>
      <w:r w:rsidRPr="000A0C4D">
        <w:rPr>
          <w:noProof/>
          <w:szCs w:val="20"/>
        </w:rPr>
        <w:t>(Walsh &amp; Magley, 2020)</w:t>
      </w:r>
      <w:r w:rsidRPr="000A0C4D">
        <w:rPr>
          <w:szCs w:val="20"/>
        </w:rPr>
        <w:fldChar w:fldCharType="end"/>
      </w:r>
      <w:r w:rsidRPr="000A0C4D">
        <w:rPr>
          <w:szCs w:val="20"/>
        </w:rPr>
        <w:t>. A student with the motivation to learn</w:t>
      </w:r>
      <w:r w:rsidR="00976F6A" w:rsidRPr="000A0C4D">
        <w:rPr>
          <w:szCs w:val="20"/>
        </w:rPr>
        <w:t xml:space="preserve"> </w:t>
      </w:r>
      <w:r w:rsidRPr="000A0C4D">
        <w:rPr>
          <w:szCs w:val="20"/>
        </w:rPr>
        <w:t>will be able to carry out learning activities properly. The role of the teacher as a motivator is needed as a driving force</w:t>
      </w:r>
      <w:r w:rsidR="00976F6A" w:rsidRPr="000A0C4D">
        <w:rPr>
          <w:szCs w:val="20"/>
        </w:rPr>
        <w:t xml:space="preserve"> and </w:t>
      </w:r>
      <w:r w:rsidRPr="000A0C4D">
        <w:rPr>
          <w:szCs w:val="20"/>
        </w:rPr>
        <w:t>encouraging students to be eager to le</w:t>
      </w:r>
      <w:r w:rsidRPr="000A0C4D">
        <w:rPr>
          <w:szCs w:val="20"/>
        </w:rPr>
        <w:t xml:space="preserve">arn to achieve student success in learning so that student learning outcomes can be achieved well. </w:t>
      </w:r>
      <w:r w:rsidRPr="000A0C4D">
        <w:rPr>
          <w:szCs w:val="20"/>
        </w:rPr>
        <w:fldChar w:fldCharType="begin" w:fldLock="1"/>
      </w:r>
      <w:r w:rsidRPr="000A0C4D">
        <w:rPr>
          <w:szCs w:val="20"/>
        </w:rPr>
        <w:instrText>ADDIN CSL_CITATION {"citationItems":[{"id":"ITEM-1","itemData":{"DOI":"10.1080/19415257.2017.1280524","ISSN":"19415265","abstract":"In this study, we investi</w:instrText>
      </w:r>
      <w:r w:rsidRPr="000A0C4D">
        <w:rPr>
          <w:szCs w:val="20"/>
        </w:rPr>
        <w:instrText>gated teachers’ motivation to learn following in the footsteps of emergent research efforts in the field. This qualitative study was grounded in the intersection of four research fields: policy, educational psychology, andragogy and professional developmen</w:instrText>
      </w:r>
      <w:r w:rsidRPr="000A0C4D">
        <w:rPr>
          <w:szCs w:val="20"/>
        </w:rPr>
        <w:instrText>t (PD). Findings indicate that teachers’ dissatisfactions with their teaching and students’ learning motivated them to learn professionally. Specifically, they internalized images of ‘perfect’ teaching/teachers and constantly compared themselves with those</w:instrText>
      </w:r>
      <w:r w:rsidRPr="000A0C4D">
        <w:rPr>
          <w:szCs w:val="20"/>
        </w:rPr>
        <w:instrText xml:space="preserve"> images–their (perceived) images of less-than-optimal teaching motivated teachers to continue pursuing PD to become ‘better’ teachers. Findings also indicate that current PD requirements, which place too much focus on quantity rather than quality of teache</w:instrText>
      </w:r>
      <w:r w:rsidRPr="000A0C4D">
        <w:rPr>
          <w:szCs w:val="20"/>
        </w:rPr>
        <w:instrText>rs’ learning, discourage teachers to pursue high-quality PD. Moreover, lack of stipends/resources, not generally available to teachers to pursue PD outside their contract hours, demotivated teachers’ learning and left them feeling skeptical about their dis</w:instrText>
      </w:r>
      <w:r w:rsidRPr="000A0C4D">
        <w:rPr>
          <w:szCs w:val="20"/>
        </w:rPr>
        <w:instrText>trict’s genuine investment in/appreciation of teachers’ learning. Implications from this study include offering specific PD suggestions, as well as critical avenues for further examining teachers’ motivation to learn as a research topic and theoretical con</w:instrText>
      </w:r>
      <w:r w:rsidRPr="000A0C4D">
        <w:rPr>
          <w:szCs w:val="20"/>
        </w:rPr>
        <w:instrText>struct.","author":[{"dropping-particle":"","family":"Appova","given":"Aina","non-dropping-particle":"","parse-names":false,"suffix":""},{"dropping-particle":"","family":"Arbaugh","given":"Fran","non-dropping-particle":"","parse-names":false,"suffix":""}],"</w:instrText>
      </w:r>
      <w:r w:rsidRPr="000A0C4D">
        <w:rPr>
          <w:szCs w:val="20"/>
        </w:rPr>
        <w:instrText>container-title":"Professional Development in Education","id":"ITEM-1","issue":"1","issued":{"date-parts":[["2018"]]},"page":"5-21","publisher":"Routledge","title":"Teachers’ motivation to learn: implications for supporting professional growth","type":"art</w:instrText>
      </w:r>
      <w:r w:rsidRPr="000A0C4D">
        <w:rPr>
          <w:szCs w:val="20"/>
        </w:rPr>
        <w:instrText>icle-journal","volume":"44"},"uris":["http://www.mendeley.com/documents/?uuid=f9dfdac0-dab0-4293-b6ef-62741300d2cc"]}],"mendeley":{"formattedCitation":"(Appova &amp; Arbaugh, 2018)","plainTextFormattedCitation":"(Appova &amp; Arbaugh, 2018)","previouslyFormattedCi</w:instrText>
      </w:r>
      <w:r w:rsidRPr="000A0C4D">
        <w:rPr>
          <w:szCs w:val="20"/>
        </w:rPr>
        <w:instrText>tation":"(Appova &amp; Arbaugh, 2018)"},"properties":{"noteIndex":0},"schema":"https://github.com/citation-style-language/schema/raw/master/csl-citation.json"}</w:instrText>
      </w:r>
      <w:r w:rsidRPr="000A0C4D">
        <w:rPr>
          <w:szCs w:val="20"/>
        </w:rPr>
        <w:fldChar w:fldCharType="separate"/>
      </w:r>
      <w:proofErr w:type="gramStart"/>
      <w:r w:rsidRPr="000A0C4D">
        <w:rPr>
          <w:noProof/>
          <w:szCs w:val="20"/>
        </w:rPr>
        <w:t>(Appova &amp; Arbaugh, 2018)</w:t>
      </w:r>
      <w:r w:rsidRPr="000A0C4D">
        <w:rPr>
          <w:szCs w:val="20"/>
        </w:rPr>
        <w:fldChar w:fldCharType="end"/>
      </w:r>
      <w:r w:rsidRPr="000A0C4D">
        <w:rPr>
          <w:szCs w:val="20"/>
        </w:rPr>
        <w:t>.</w:t>
      </w:r>
      <w:proofErr w:type="gramEnd"/>
      <w:r w:rsidRPr="000A0C4D">
        <w:rPr>
          <w:szCs w:val="20"/>
        </w:rPr>
        <w:t xml:space="preserve"> One factor that influences the success of BL is student perception, wher</w:t>
      </w:r>
      <w:r w:rsidRPr="000A0C4D">
        <w:rPr>
          <w:szCs w:val="20"/>
        </w:rPr>
        <w:t xml:space="preserve">e each student has a different perception. Therefore, the study aimed to determine the relationship between student perceptions and learning motivation toward </w:t>
      </w:r>
      <w:r w:rsidR="00E02772" w:rsidRPr="00E02772">
        <w:rPr>
          <w:szCs w:val="20"/>
        </w:rPr>
        <w:t xml:space="preserve">blended learning </w:t>
      </w:r>
      <w:proofErr w:type="spellStart"/>
      <w:r w:rsidR="00E02772" w:rsidRPr="00E02772">
        <w:rPr>
          <w:szCs w:val="20"/>
        </w:rPr>
        <w:t>learning</w:t>
      </w:r>
      <w:proofErr w:type="spellEnd"/>
      <w:r w:rsidR="00E02772" w:rsidRPr="000A0C4D">
        <w:rPr>
          <w:i/>
          <w:szCs w:val="20"/>
        </w:rPr>
        <w:t xml:space="preserve"> </w:t>
      </w:r>
      <w:r w:rsidRPr="000A0C4D">
        <w:rPr>
          <w:szCs w:val="20"/>
        </w:rPr>
        <w:t>strategies</w:t>
      </w:r>
      <w:r w:rsidRPr="000A0C4D">
        <w:rPr>
          <w:i/>
          <w:szCs w:val="20"/>
        </w:rPr>
        <w:t>.</w:t>
      </w:r>
    </w:p>
    <w:p w14:paraId="045018D9" w14:textId="77777777" w:rsidR="00E02772" w:rsidRDefault="00E02772" w:rsidP="00E02772">
      <w:pPr>
        <w:pStyle w:val="Alishlah31text"/>
        <w:rPr>
          <w:spacing w:val="-2"/>
          <w:lang w:val="en-ID" w:eastAsia="zh-CN"/>
        </w:rPr>
      </w:pPr>
    </w:p>
    <w:p w14:paraId="0FD5F4A8" w14:textId="77777777" w:rsidR="00E02772" w:rsidRDefault="00E02772" w:rsidP="00E02772">
      <w:pPr>
        <w:pStyle w:val="Alishlah31text"/>
        <w:rPr>
          <w:spacing w:val="-2"/>
          <w:lang w:val="en-ID" w:eastAsia="zh-CN"/>
        </w:rPr>
      </w:pPr>
    </w:p>
    <w:p w14:paraId="1E1790DF" w14:textId="77777777" w:rsidR="00E02772" w:rsidRDefault="00E02772" w:rsidP="00E02772">
      <w:pPr>
        <w:pStyle w:val="Alishlah31text"/>
        <w:rPr>
          <w:spacing w:val="-2"/>
          <w:lang w:val="en-ID" w:eastAsia="zh-CN"/>
        </w:rPr>
      </w:pPr>
    </w:p>
    <w:p w14:paraId="091D8B90" w14:textId="77777777" w:rsidR="00E02772" w:rsidRPr="000A0C4D" w:rsidRDefault="00E02772" w:rsidP="00E02772">
      <w:pPr>
        <w:pStyle w:val="Alishlah31text"/>
        <w:rPr>
          <w:spacing w:val="-2"/>
          <w:lang w:val="en-ID" w:eastAsia="zh-CN"/>
        </w:rPr>
      </w:pPr>
    </w:p>
    <w:p w14:paraId="5F6B1550" w14:textId="77777777" w:rsidR="00092A09" w:rsidRPr="000A0C4D" w:rsidRDefault="007024BD">
      <w:pPr>
        <w:pStyle w:val="Alishlah21heading1"/>
        <w:rPr>
          <w:rFonts w:eastAsia="Times New Roman"/>
        </w:rPr>
      </w:pPr>
      <w:r w:rsidRPr="000A0C4D">
        <w:rPr>
          <w:rFonts w:eastAsia="Times New Roman"/>
        </w:rPr>
        <w:lastRenderedPageBreak/>
        <w:t xml:space="preserve">METHODS </w:t>
      </w:r>
    </w:p>
    <w:p w14:paraId="2A1D883A" w14:textId="77777777" w:rsidR="00092A09" w:rsidRPr="000A0C4D" w:rsidRDefault="007024BD">
      <w:pPr>
        <w:pStyle w:val="Alishlah31text"/>
        <w:rPr>
          <w:rFonts w:eastAsia="MS Mincho"/>
          <w:szCs w:val="20"/>
          <w:lang w:val="fi-FI"/>
        </w:rPr>
      </w:pPr>
      <w:r w:rsidRPr="000A0C4D">
        <w:rPr>
          <w:szCs w:val="20"/>
        </w:rPr>
        <w:t xml:space="preserve">The participants in this study were the </w:t>
      </w:r>
      <w:r w:rsidR="00976F6A" w:rsidRPr="000A0C4D">
        <w:rPr>
          <w:szCs w:val="20"/>
        </w:rPr>
        <w:t xml:space="preserve">eleventh grader </w:t>
      </w:r>
      <w:r w:rsidRPr="000A0C4D">
        <w:rPr>
          <w:szCs w:val="20"/>
        </w:rPr>
        <w:t xml:space="preserve">of </w:t>
      </w:r>
      <w:proofErr w:type="spellStart"/>
      <w:r w:rsidRPr="000A0C4D">
        <w:rPr>
          <w:szCs w:val="20"/>
        </w:rPr>
        <w:t>Xaverius</w:t>
      </w:r>
      <w:proofErr w:type="spellEnd"/>
      <w:r w:rsidR="00976F6A" w:rsidRPr="000A0C4D">
        <w:rPr>
          <w:szCs w:val="20"/>
        </w:rPr>
        <w:t xml:space="preserve"> Senior High School</w:t>
      </w:r>
      <w:r w:rsidRPr="000A0C4D">
        <w:rPr>
          <w:szCs w:val="20"/>
        </w:rPr>
        <w:t xml:space="preserve"> Ambon, totaling 70 people.</w:t>
      </w:r>
      <w:r w:rsidR="00976F6A" w:rsidRPr="000A0C4D">
        <w:rPr>
          <w:szCs w:val="20"/>
        </w:rPr>
        <w:t xml:space="preserve"> </w:t>
      </w:r>
      <w:r w:rsidRPr="000A0C4D">
        <w:rPr>
          <w:szCs w:val="20"/>
        </w:rPr>
        <w:t xml:space="preserve">The quantitative research procedure consists of the following stages or activity steps: 1) </w:t>
      </w:r>
      <w:r w:rsidRPr="000A0C4D">
        <w:rPr>
          <w:i/>
          <w:szCs w:val="20"/>
        </w:rPr>
        <w:t xml:space="preserve">Conceptual </w:t>
      </w:r>
      <w:r w:rsidRPr="000A0C4D">
        <w:rPr>
          <w:szCs w:val="20"/>
        </w:rPr>
        <w:t>stage (formulating and identifying problems, reviewing relevant literature, defining the</w:t>
      </w:r>
      <w:r w:rsidRPr="000A0C4D">
        <w:rPr>
          <w:szCs w:val="20"/>
        </w:rPr>
        <w:t xml:space="preserve">oretical frameworks, formulating hypotheses). 2) Design and planning phase (choosing a research design, identifying the population studied, specializing methods for measuring research </w:t>
      </w:r>
      <w:r w:rsidRPr="000A0C4D">
        <w:rPr>
          <w:i/>
          <w:szCs w:val="20"/>
        </w:rPr>
        <w:t>variables</w:t>
      </w:r>
      <w:r w:rsidRPr="000A0C4D">
        <w:rPr>
          <w:szCs w:val="20"/>
        </w:rPr>
        <w:t xml:space="preserve">, designing a sampling plan, </w:t>
      </w:r>
      <w:r w:rsidR="00147004" w:rsidRPr="000A0C4D">
        <w:rPr>
          <w:szCs w:val="20"/>
        </w:rPr>
        <w:t>finishi</w:t>
      </w:r>
      <w:r w:rsidRPr="000A0C4D">
        <w:rPr>
          <w:szCs w:val="20"/>
        </w:rPr>
        <w:t>ng and reviewing the resear</w:t>
      </w:r>
      <w:r w:rsidRPr="000A0C4D">
        <w:rPr>
          <w:szCs w:val="20"/>
        </w:rPr>
        <w:t xml:space="preserve">ch plan, carrying out research, and making </w:t>
      </w:r>
      <w:r w:rsidRPr="000A0C4D">
        <w:rPr>
          <w:i/>
          <w:szCs w:val="20"/>
        </w:rPr>
        <w:t>revisions</w:t>
      </w:r>
      <w:r w:rsidRPr="000A0C4D">
        <w:rPr>
          <w:szCs w:val="20"/>
        </w:rPr>
        <w:t>. 3) Instrument making and research data collection. 4) Empirical Phase (collecting data, preparing data for analysis) collecting research data carried out in the field. 5) Analytical Phase (analyzing dat</w:t>
      </w:r>
      <w:r w:rsidRPr="000A0C4D">
        <w:rPr>
          <w:szCs w:val="20"/>
        </w:rPr>
        <w:t>a and calculating the results of research data), processing and analyzing research data. Data collected from the field is processed and analyzed to obtain conclusions from the results of testing research hypotheses. 6) Dissemination Phase, designing resear</w:t>
      </w:r>
      <w:r w:rsidRPr="000A0C4D">
        <w:rPr>
          <w:szCs w:val="20"/>
        </w:rPr>
        <w:t>ch results. In the final stage, the research results are compiled in the form of conclusions from the research results</w:t>
      </w:r>
      <w:r w:rsidR="00147004" w:rsidRPr="000A0C4D">
        <w:rPr>
          <w:szCs w:val="20"/>
        </w:rPr>
        <w:t xml:space="preserve"> so readers can read, understand, and know the results</w:t>
      </w:r>
      <w:r w:rsidRPr="000A0C4D">
        <w:rPr>
          <w:rFonts w:eastAsia="MS Mincho"/>
          <w:szCs w:val="20"/>
          <w:lang w:val="fi-FI"/>
        </w:rPr>
        <w:t xml:space="preserve">. </w:t>
      </w:r>
    </w:p>
    <w:p w14:paraId="49FFF262" w14:textId="77777777" w:rsidR="00092A09" w:rsidRPr="000A0C4D" w:rsidRDefault="007024BD">
      <w:pPr>
        <w:pStyle w:val="Alishlah31text"/>
      </w:pPr>
      <w:r w:rsidRPr="000A0C4D">
        <w:rPr>
          <w:szCs w:val="20"/>
        </w:rPr>
        <w:t>The research instrument</w:t>
      </w:r>
      <w:r w:rsidR="00147004" w:rsidRPr="000A0C4D">
        <w:rPr>
          <w:szCs w:val="20"/>
        </w:rPr>
        <w:t xml:space="preserve"> </w:t>
      </w:r>
      <w:r w:rsidRPr="000A0C4D">
        <w:rPr>
          <w:szCs w:val="20"/>
        </w:rPr>
        <w:t xml:space="preserve">of BL's learning strategy with </w:t>
      </w:r>
      <w:proofErr w:type="spellStart"/>
      <w:r w:rsidRPr="000A0C4D">
        <w:rPr>
          <w:szCs w:val="20"/>
        </w:rPr>
        <w:t>Xaverius</w:t>
      </w:r>
      <w:proofErr w:type="spellEnd"/>
      <w:r w:rsidR="00147004" w:rsidRPr="000A0C4D">
        <w:rPr>
          <w:szCs w:val="20"/>
        </w:rPr>
        <w:t xml:space="preserve"> Senior High School </w:t>
      </w:r>
      <w:r w:rsidRPr="000A0C4D">
        <w:rPr>
          <w:szCs w:val="20"/>
        </w:rPr>
        <w:t xml:space="preserve">Ambon students' learning motivation </w:t>
      </w:r>
      <w:r w:rsidR="00147004" w:rsidRPr="000A0C4D">
        <w:rPr>
          <w:szCs w:val="20"/>
        </w:rPr>
        <w:t xml:space="preserve">includes </w:t>
      </w:r>
      <w:r w:rsidRPr="000A0C4D">
        <w:rPr>
          <w:szCs w:val="20"/>
        </w:rPr>
        <w:t>the following indicators: 1) Desire</w:t>
      </w:r>
      <w:r w:rsidR="00147004" w:rsidRPr="000A0C4D">
        <w:rPr>
          <w:szCs w:val="20"/>
        </w:rPr>
        <w:t xml:space="preserve"> </w:t>
      </w:r>
      <w:r w:rsidRPr="000A0C4D">
        <w:rPr>
          <w:szCs w:val="20"/>
        </w:rPr>
        <w:t xml:space="preserve">to succeed, 2) Encouragement and needs in learning, 3) Expectations and future goals, and 4) Appreciation of learning. 5) Interesting desires in learning, 6) a Conducive </w:t>
      </w:r>
      <w:r w:rsidRPr="000A0C4D">
        <w:rPr>
          <w:szCs w:val="20"/>
        </w:rPr>
        <w:t>learning environment.</w:t>
      </w:r>
    </w:p>
    <w:p w14:paraId="7B028738" w14:textId="77777777" w:rsidR="0058178B" w:rsidRPr="000A0C4D" w:rsidRDefault="0058178B" w:rsidP="002B31FD">
      <w:pPr>
        <w:pStyle w:val="Alishlah31text"/>
      </w:pPr>
    </w:p>
    <w:p w14:paraId="2B0A6595" w14:textId="77777777" w:rsidR="00092A09" w:rsidRPr="000A0C4D" w:rsidRDefault="007024BD">
      <w:pPr>
        <w:pStyle w:val="Alishlah21heading1"/>
        <w:rPr>
          <w:rFonts w:eastAsia="Times New Roman"/>
        </w:rPr>
      </w:pPr>
      <w:r w:rsidRPr="000A0C4D">
        <w:rPr>
          <w:rFonts w:eastAsia="Times New Roman"/>
        </w:rPr>
        <w:t>FINDINGS AND DISCUSSION</w:t>
      </w:r>
    </w:p>
    <w:p w14:paraId="48E7D0E2" w14:textId="77777777" w:rsidR="00092A09" w:rsidRPr="000A0C4D" w:rsidRDefault="007024BD">
      <w:pPr>
        <w:pStyle w:val="Alishlah31text"/>
      </w:pPr>
      <w:r w:rsidRPr="000A0C4D">
        <w:rPr>
          <w:szCs w:val="20"/>
          <w:lang w:val="id-ID"/>
        </w:rPr>
        <w:t xml:space="preserve">The results of descriptive data analysis showed that the mean of </w:t>
      </w:r>
      <w:r w:rsidRPr="000A0C4D">
        <w:rPr>
          <w:szCs w:val="20"/>
        </w:rPr>
        <w:t xml:space="preserve">student perceptions </w:t>
      </w:r>
      <w:r w:rsidRPr="000A0C4D">
        <w:rPr>
          <w:szCs w:val="20"/>
          <w:lang w:val="id-ID"/>
        </w:rPr>
        <w:t xml:space="preserve">and learning </w:t>
      </w:r>
      <w:r w:rsidRPr="000A0C4D">
        <w:rPr>
          <w:szCs w:val="20"/>
        </w:rPr>
        <w:t>motivation were 70</w:t>
      </w:r>
      <w:r w:rsidRPr="000A0C4D">
        <w:rPr>
          <w:szCs w:val="20"/>
          <w:lang w:val="id-ID"/>
        </w:rPr>
        <w:t xml:space="preserve">.01 and </w:t>
      </w:r>
      <w:r w:rsidRPr="000A0C4D">
        <w:rPr>
          <w:szCs w:val="20"/>
        </w:rPr>
        <w:t>75</w:t>
      </w:r>
      <w:r w:rsidRPr="000A0C4D">
        <w:rPr>
          <w:szCs w:val="20"/>
          <w:lang w:val="id-ID"/>
        </w:rPr>
        <w:t xml:space="preserve">.01, respectively. Thus, the </w:t>
      </w:r>
      <w:r w:rsidRPr="000A0C4D">
        <w:rPr>
          <w:szCs w:val="20"/>
        </w:rPr>
        <w:t xml:space="preserve">student perception </w:t>
      </w:r>
      <w:r w:rsidRPr="000A0C4D">
        <w:rPr>
          <w:szCs w:val="20"/>
          <w:lang w:val="id-ID"/>
        </w:rPr>
        <w:t xml:space="preserve">score was 5 points higher than the </w:t>
      </w:r>
      <w:r w:rsidRPr="000A0C4D">
        <w:rPr>
          <w:szCs w:val="20"/>
          <w:lang w:val="id-ID"/>
        </w:rPr>
        <w:t xml:space="preserve">learning </w:t>
      </w:r>
      <w:r w:rsidRPr="000A0C4D">
        <w:rPr>
          <w:szCs w:val="20"/>
        </w:rPr>
        <w:t>motivation score</w:t>
      </w:r>
      <w:r w:rsidRPr="000A0C4D">
        <w:rPr>
          <w:szCs w:val="20"/>
          <w:lang w:val="id-ID"/>
        </w:rPr>
        <w:t xml:space="preserve">. The range of </w:t>
      </w:r>
      <w:r w:rsidRPr="000A0C4D">
        <w:rPr>
          <w:szCs w:val="20"/>
        </w:rPr>
        <w:t xml:space="preserve">student perception scores </w:t>
      </w:r>
      <w:r w:rsidRPr="000A0C4D">
        <w:rPr>
          <w:szCs w:val="20"/>
          <w:lang w:val="id-ID"/>
        </w:rPr>
        <w:t xml:space="preserve">is </w:t>
      </w:r>
      <w:r w:rsidRPr="000A0C4D">
        <w:rPr>
          <w:szCs w:val="20"/>
        </w:rPr>
        <w:t>45</w:t>
      </w:r>
      <w:r w:rsidRPr="000A0C4D">
        <w:rPr>
          <w:szCs w:val="20"/>
          <w:lang w:val="id-ID"/>
        </w:rPr>
        <w:t>.</w:t>
      </w:r>
      <w:r w:rsidRPr="000A0C4D">
        <w:rPr>
          <w:szCs w:val="20"/>
        </w:rPr>
        <w:t>00-85</w:t>
      </w:r>
      <w:r w:rsidRPr="000A0C4D">
        <w:rPr>
          <w:szCs w:val="20"/>
          <w:lang w:val="id-ID"/>
        </w:rPr>
        <w:t>.</w:t>
      </w:r>
      <w:r w:rsidRPr="000A0C4D">
        <w:rPr>
          <w:szCs w:val="20"/>
        </w:rPr>
        <w:t>00</w:t>
      </w:r>
      <w:r w:rsidRPr="000A0C4D">
        <w:rPr>
          <w:szCs w:val="20"/>
          <w:lang w:val="id-ID"/>
        </w:rPr>
        <w:t xml:space="preserve">, while the range of learning </w:t>
      </w:r>
      <w:r w:rsidRPr="000A0C4D">
        <w:rPr>
          <w:szCs w:val="20"/>
        </w:rPr>
        <w:t xml:space="preserve">motivation </w:t>
      </w:r>
      <w:r w:rsidRPr="000A0C4D">
        <w:rPr>
          <w:szCs w:val="20"/>
          <w:lang w:val="id-ID"/>
        </w:rPr>
        <w:t>scores is 35.</w:t>
      </w:r>
      <w:r w:rsidRPr="000A0C4D">
        <w:rPr>
          <w:szCs w:val="20"/>
        </w:rPr>
        <w:t>85-90</w:t>
      </w:r>
      <w:r w:rsidRPr="000A0C4D">
        <w:rPr>
          <w:szCs w:val="20"/>
          <w:lang w:val="id-ID"/>
        </w:rPr>
        <w:t>.</w:t>
      </w:r>
      <w:r w:rsidRPr="000A0C4D">
        <w:rPr>
          <w:szCs w:val="20"/>
        </w:rPr>
        <w:t>80</w:t>
      </w:r>
      <w:r w:rsidRPr="000A0C4D">
        <w:rPr>
          <w:szCs w:val="20"/>
          <w:lang w:val="id-ID"/>
        </w:rPr>
        <w:t xml:space="preserve">. The </w:t>
      </w:r>
      <w:r w:rsidRPr="000A0C4D">
        <w:rPr>
          <w:szCs w:val="20"/>
        </w:rPr>
        <w:t xml:space="preserve">data description of student's learning motivation and perception is shown in Table 1. </w:t>
      </w:r>
    </w:p>
    <w:p w14:paraId="00453A15" w14:textId="77777777" w:rsidR="00092A09" w:rsidRPr="000A0C4D" w:rsidRDefault="007024BD">
      <w:pPr>
        <w:spacing w:after="0"/>
        <w:ind w:hanging="2"/>
        <w:jc w:val="center"/>
        <w:rPr>
          <w:rFonts w:ascii="Palatino Linotype" w:hAnsi="Palatino Linotype"/>
          <w:b/>
          <w:sz w:val="20"/>
          <w:szCs w:val="20"/>
        </w:rPr>
      </w:pPr>
      <w:proofErr w:type="gramStart"/>
      <w:r w:rsidRPr="000A0C4D">
        <w:rPr>
          <w:rFonts w:ascii="Palatino Linotype" w:hAnsi="Palatino Linotype"/>
          <w:b/>
          <w:sz w:val="20"/>
          <w:szCs w:val="20"/>
        </w:rPr>
        <w:t>Table 1.</w:t>
      </w:r>
      <w:proofErr w:type="gramEnd"/>
      <w:r w:rsidRPr="000A0C4D">
        <w:rPr>
          <w:rFonts w:ascii="Palatino Linotype" w:hAnsi="Palatino Linotype"/>
          <w:b/>
          <w:sz w:val="20"/>
          <w:szCs w:val="20"/>
        </w:rPr>
        <w:t xml:space="preserve"> </w:t>
      </w:r>
      <w:r w:rsidRPr="000A0C4D">
        <w:rPr>
          <w:rFonts w:ascii="Palatino Linotype" w:hAnsi="Palatino Linotype"/>
          <w:sz w:val="20"/>
          <w:szCs w:val="20"/>
        </w:rPr>
        <w:t xml:space="preserve">Description </w:t>
      </w:r>
      <w:r w:rsidRPr="000A0C4D">
        <w:rPr>
          <w:rFonts w:ascii="Palatino Linotype" w:hAnsi="Palatino Linotype"/>
          <w:sz w:val="20"/>
          <w:szCs w:val="20"/>
        </w:rPr>
        <w:t>of Data on Student Perceptions and Learning Motivation</w:t>
      </w:r>
    </w:p>
    <w:tbl>
      <w:tblPr>
        <w:tblW w:w="8970" w:type="dxa"/>
        <w:jc w:val="center"/>
        <w:tblBorders>
          <w:top w:val="single" w:sz="4" w:space="0" w:color="auto"/>
          <w:bottom w:val="single" w:sz="4" w:space="0" w:color="auto"/>
          <w:insideH w:val="single" w:sz="4" w:space="0" w:color="auto"/>
        </w:tblBorders>
        <w:tblLayout w:type="fixed"/>
        <w:tblCellMar>
          <w:left w:w="30" w:type="dxa"/>
          <w:right w:w="30" w:type="dxa"/>
        </w:tblCellMar>
        <w:tblLook w:val="04A0" w:firstRow="1" w:lastRow="0" w:firstColumn="1" w:lastColumn="0" w:noHBand="0" w:noVBand="1"/>
      </w:tblPr>
      <w:tblGrid>
        <w:gridCol w:w="1393"/>
        <w:gridCol w:w="1134"/>
        <w:gridCol w:w="1559"/>
        <w:gridCol w:w="2126"/>
        <w:gridCol w:w="1134"/>
        <w:gridCol w:w="1624"/>
      </w:tblGrid>
      <w:tr w:rsidR="003B03C8" w:rsidRPr="000A0C4D" w14:paraId="7F138104" w14:textId="77777777" w:rsidTr="00D56D5E">
        <w:trPr>
          <w:cantSplit/>
          <w:trHeight w:val="131"/>
          <w:tblHeader/>
          <w:jc w:val="center"/>
        </w:trPr>
        <w:tc>
          <w:tcPr>
            <w:tcW w:w="1393" w:type="dxa"/>
            <w:tcBorders>
              <w:left w:val="nil"/>
              <w:right w:val="nil"/>
            </w:tcBorders>
            <w:shd w:val="clear" w:color="auto" w:fill="FFFFFF"/>
            <w:tcMar>
              <w:top w:w="30" w:type="dxa"/>
              <w:left w:w="30" w:type="dxa"/>
              <w:bottom w:w="30" w:type="dxa"/>
              <w:right w:w="30" w:type="dxa"/>
            </w:tcMar>
            <w:vAlign w:val="center"/>
            <w:hideMark/>
          </w:tcPr>
          <w:p w14:paraId="7AD1F225" w14:textId="77777777" w:rsidR="00092A09" w:rsidRPr="000A0C4D" w:rsidRDefault="007024BD">
            <w:pPr>
              <w:autoSpaceDE w:val="0"/>
              <w:autoSpaceDN w:val="0"/>
              <w:adjustRightInd w:val="0"/>
              <w:spacing w:after="0" w:line="240" w:lineRule="auto"/>
              <w:ind w:hanging="2"/>
              <w:jc w:val="center"/>
              <w:rPr>
                <w:rFonts w:ascii="Palatino Linotype" w:hAnsi="Palatino Linotype"/>
                <w:b/>
                <w:sz w:val="20"/>
                <w:szCs w:val="20"/>
              </w:rPr>
            </w:pPr>
            <w:r w:rsidRPr="000A0C4D">
              <w:rPr>
                <w:rFonts w:ascii="Palatino Linotype" w:hAnsi="Palatino Linotype"/>
                <w:b/>
                <w:sz w:val="20"/>
                <w:szCs w:val="20"/>
              </w:rPr>
              <w:t>Variables</w:t>
            </w:r>
          </w:p>
        </w:tc>
        <w:tc>
          <w:tcPr>
            <w:tcW w:w="1134" w:type="dxa"/>
            <w:tcBorders>
              <w:left w:val="nil"/>
              <w:right w:val="nil"/>
            </w:tcBorders>
            <w:shd w:val="clear" w:color="auto" w:fill="FFFFFF"/>
            <w:tcMar>
              <w:top w:w="30" w:type="dxa"/>
              <w:left w:w="30" w:type="dxa"/>
              <w:bottom w:w="30" w:type="dxa"/>
              <w:right w:w="30" w:type="dxa"/>
            </w:tcMar>
            <w:vAlign w:val="center"/>
            <w:hideMark/>
          </w:tcPr>
          <w:p w14:paraId="63437053" w14:textId="77777777" w:rsidR="00092A09" w:rsidRPr="000A0C4D" w:rsidRDefault="007024BD">
            <w:pPr>
              <w:autoSpaceDE w:val="0"/>
              <w:autoSpaceDN w:val="0"/>
              <w:adjustRightInd w:val="0"/>
              <w:spacing w:after="0" w:line="240" w:lineRule="auto"/>
              <w:ind w:hanging="2"/>
              <w:jc w:val="center"/>
              <w:rPr>
                <w:rFonts w:ascii="Palatino Linotype" w:hAnsi="Palatino Linotype"/>
                <w:b/>
                <w:color w:val="000000"/>
                <w:sz w:val="20"/>
                <w:szCs w:val="20"/>
              </w:rPr>
            </w:pPr>
            <w:r w:rsidRPr="000A0C4D">
              <w:rPr>
                <w:rFonts w:ascii="Palatino Linotype" w:hAnsi="Palatino Linotype"/>
                <w:b/>
                <w:color w:val="000000"/>
                <w:sz w:val="20"/>
                <w:szCs w:val="20"/>
              </w:rPr>
              <w:t>Sample</w:t>
            </w:r>
          </w:p>
        </w:tc>
        <w:tc>
          <w:tcPr>
            <w:tcW w:w="1559" w:type="dxa"/>
            <w:tcBorders>
              <w:left w:val="nil"/>
              <w:right w:val="nil"/>
            </w:tcBorders>
            <w:shd w:val="clear" w:color="auto" w:fill="FFFFFF"/>
            <w:tcMar>
              <w:top w:w="30" w:type="dxa"/>
              <w:left w:w="30" w:type="dxa"/>
              <w:bottom w:w="30" w:type="dxa"/>
              <w:right w:w="30" w:type="dxa"/>
            </w:tcMar>
            <w:vAlign w:val="center"/>
            <w:hideMark/>
          </w:tcPr>
          <w:p w14:paraId="2D39042F" w14:textId="77777777" w:rsidR="00092A09" w:rsidRPr="000A0C4D" w:rsidRDefault="007024BD">
            <w:pPr>
              <w:autoSpaceDE w:val="0"/>
              <w:autoSpaceDN w:val="0"/>
              <w:adjustRightInd w:val="0"/>
              <w:spacing w:after="0" w:line="240" w:lineRule="auto"/>
              <w:ind w:hanging="2"/>
              <w:jc w:val="center"/>
              <w:rPr>
                <w:rFonts w:ascii="Palatino Linotype" w:hAnsi="Palatino Linotype"/>
                <w:b/>
                <w:color w:val="000000"/>
                <w:sz w:val="20"/>
                <w:szCs w:val="20"/>
              </w:rPr>
            </w:pPr>
            <w:r w:rsidRPr="000A0C4D">
              <w:rPr>
                <w:rFonts w:ascii="Palatino Linotype" w:hAnsi="Palatino Linotype"/>
                <w:b/>
                <w:color w:val="000000"/>
                <w:sz w:val="20"/>
                <w:szCs w:val="20"/>
              </w:rPr>
              <w:t xml:space="preserve">Score </w:t>
            </w:r>
          </w:p>
          <w:p w14:paraId="7F62455A" w14:textId="77777777" w:rsidR="00092A09" w:rsidRPr="000A0C4D" w:rsidRDefault="007024BD">
            <w:pPr>
              <w:autoSpaceDE w:val="0"/>
              <w:autoSpaceDN w:val="0"/>
              <w:adjustRightInd w:val="0"/>
              <w:spacing w:after="0" w:line="240" w:lineRule="auto"/>
              <w:ind w:hanging="2"/>
              <w:jc w:val="center"/>
              <w:rPr>
                <w:rFonts w:ascii="Palatino Linotype" w:hAnsi="Palatino Linotype"/>
                <w:b/>
                <w:color w:val="000000"/>
                <w:sz w:val="20"/>
                <w:szCs w:val="20"/>
              </w:rPr>
            </w:pPr>
            <w:r w:rsidRPr="000A0C4D">
              <w:rPr>
                <w:rFonts w:ascii="Palatino Linotype" w:hAnsi="Palatino Linotype"/>
                <w:b/>
                <w:color w:val="000000"/>
                <w:sz w:val="20"/>
                <w:szCs w:val="20"/>
              </w:rPr>
              <w:t>Minimum</w:t>
            </w:r>
          </w:p>
        </w:tc>
        <w:tc>
          <w:tcPr>
            <w:tcW w:w="2126" w:type="dxa"/>
            <w:tcBorders>
              <w:left w:val="nil"/>
              <w:right w:val="nil"/>
            </w:tcBorders>
            <w:shd w:val="clear" w:color="auto" w:fill="FFFFFF"/>
            <w:tcMar>
              <w:top w:w="30" w:type="dxa"/>
              <w:left w:w="30" w:type="dxa"/>
              <w:bottom w:w="30" w:type="dxa"/>
              <w:right w:w="30" w:type="dxa"/>
            </w:tcMar>
            <w:vAlign w:val="center"/>
            <w:hideMark/>
          </w:tcPr>
          <w:p w14:paraId="780B9C6E" w14:textId="77777777" w:rsidR="00092A09" w:rsidRPr="000A0C4D" w:rsidRDefault="007024BD">
            <w:pPr>
              <w:autoSpaceDE w:val="0"/>
              <w:autoSpaceDN w:val="0"/>
              <w:adjustRightInd w:val="0"/>
              <w:spacing w:after="0" w:line="240" w:lineRule="auto"/>
              <w:ind w:hanging="2"/>
              <w:jc w:val="center"/>
              <w:rPr>
                <w:rFonts w:ascii="Palatino Linotype" w:hAnsi="Palatino Linotype"/>
                <w:b/>
                <w:color w:val="000000"/>
                <w:sz w:val="20"/>
                <w:szCs w:val="20"/>
              </w:rPr>
            </w:pPr>
            <w:r w:rsidRPr="000A0C4D">
              <w:rPr>
                <w:rFonts w:ascii="Palatino Linotype" w:hAnsi="Palatino Linotype"/>
                <w:b/>
                <w:color w:val="000000"/>
                <w:sz w:val="20"/>
                <w:szCs w:val="20"/>
              </w:rPr>
              <w:t xml:space="preserve">Score </w:t>
            </w:r>
          </w:p>
          <w:p w14:paraId="707D2936" w14:textId="77777777" w:rsidR="00092A09" w:rsidRPr="000A0C4D" w:rsidRDefault="007024BD">
            <w:pPr>
              <w:autoSpaceDE w:val="0"/>
              <w:autoSpaceDN w:val="0"/>
              <w:adjustRightInd w:val="0"/>
              <w:spacing w:after="0" w:line="240" w:lineRule="auto"/>
              <w:ind w:hanging="2"/>
              <w:jc w:val="center"/>
              <w:rPr>
                <w:rFonts w:ascii="Palatino Linotype" w:hAnsi="Palatino Linotype"/>
                <w:b/>
                <w:color w:val="000000"/>
                <w:sz w:val="20"/>
                <w:szCs w:val="20"/>
              </w:rPr>
            </w:pPr>
            <w:r w:rsidRPr="000A0C4D">
              <w:rPr>
                <w:rFonts w:ascii="Palatino Linotype" w:hAnsi="Palatino Linotype"/>
                <w:b/>
                <w:color w:val="000000"/>
                <w:sz w:val="20"/>
                <w:szCs w:val="20"/>
              </w:rPr>
              <w:t>Maximum</w:t>
            </w:r>
          </w:p>
        </w:tc>
        <w:tc>
          <w:tcPr>
            <w:tcW w:w="1134" w:type="dxa"/>
            <w:tcBorders>
              <w:left w:val="nil"/>
              <w:right w:val="nil"/>
            </w:tcBorders>
            <w:shd w:val="clear" w:color="auto" w:fill="FFFFFF"/>
            <w:tcMar>
              <w:top w:w="30" w:type="dxa"/>
              <w:left w:w="30" w:type="dxa"/>
              <w:bottom w:w="30" w:type="dxa"/>
              <w:right w:w="30" w:type="dxa"/>
            </w:tcMar>
            <w:vAlign w:val="center"/>
            <w:hideMark/>
          </w:tcPr>
          <w:p w14:paraId="0CA2E333" w14:textId="77777777" w:rsidR="00092A09" w:rsidRPr="000A0C4D" w:rsidRDefault="007024BD">
            <w:pPr>
              <w:autoSpaceDE w:val="0"/>
              <w:autoSpaceDN w:val="0"/>
              <w:adjustRightInd w:val="0"/>
              <w:spacing w:after="0" w:line="240" w:lineRule="auto"/>
              <w:ind w:hanging="2"/>
              <w:jc w:val="center"/>
              <w:rPr>
                <w:rFonts w:ascii="Palatino Linotype" w:hAnsi="Palatino Linotype"/>
                <w:b/>
                <w:color w:val="000000"/>
                <w:sz w:val="20"/>
                <w:szCs w:val="20"/>
              </w:rPr>
            </w:pPr>
            <w:r w:rsidRPr="000A0C4D">
              <w:rPr>
                <w:rFonts w:ascii="Palatino Linotype" w:hAnsi="Palatino Linotype"/>
                <w:b/>
                <w:color w:val="000000"/>
                <w:sz w:val="20"/>
                <w:szCs w:val="20"/>
              </w:rPr>
              <w:t>Mean</w:t>
            </w:r>
          </w:p>
        </w:tc>
        <w:tc>
          <w:tcPr>
            <w:tcW w:w="1624" w:type="dxa"/>
            <w:tcBorders>
              <w:left w:val="nil"/>
              <w:right w:val="nil"/>
            </w:tcBorders>
            <w:shd w:val="clear" w:color="auto" w:fill="FFFFFF"/>
            <w:tcMar>
              <w:top w:w="30" w:type="dxa"/>
              <w:left w:w="30" w:type="dxa"/>
              <w:bottom w:w="30" w:type="dxa"/>
              <w:right w:w="30" w:type="dxa"/>
            </w:tcMar>
            <w:vAlign w:val="center"/>
            <w:hideMark/>
          </w:tcPr>
          <w:p w14:paraId="5FF2C243" w14:textId="77777777" w:rsidR="00092A09" w:rsidRPr="000A0C4D" w:rsidRDefault="007024BD">
            <w:pPr>
              <w:autoSpaceDE w:val="0"/>
              <w:autoSpaceDN w:val="0"/>
              <w:adjustRightInd w:val="0"/>
              <w:spacing w:after="0" w:line="240" w:lineRule="auto"/>
              <w:ind w:hanging="2"/>
              <w:jc w:val="center"/>
              <w:rPr>
                <w:rFonts w:ascii="Palatino Linotype" w:hAnsi="Palatino Linotype"/>
                <w:b/>
                <w:color w:val="000000"/>
                <w:sz w:val="20"/>
                <w:szCs w:val="20"/>
              </w:rPr>
            </w:pPr>
            <w:r w:rsidRPr="000A0C4D">
              <w:rPr>
                <w:rFonts w:ascii="Palatino Linotype" w:hAnsi="Palatino Linotype"/>
                <w:b/>
                <w:color w:val="000000"/>
                <w:sz w:val="20"/>
                <w:szCs w:val="20"/>
              </w:rPr>
              <w:t>Std. Deviation</w:t>
            </w:r>
          </w:p>
        </w:tc>
      </w:tr>
      <w:tr w:rsidR="003B03C8" w:rsidRPr="000A0C4D" w14:paraId="55767567" w14:textId="77777777" w:rsidTr="00D56D5E">
        <w:trPr>
          <w:cantSplit/>
          <w:trHeight w:val="264"/>
          <w:tblHeader/>
          <w:jc w:val="center"/>
        </w:trPr>
        <w:tc>
          <w:tcPr>
            <w:tcW w:w="1393" w:type="dxa"/>
            <w:tcBorders>
              <w:left w:val="nil"/>
              <w:bottom w:val="nil"/>
              <w:right w:val="nil"/>
            </w:tcBorders>
            <w:shd w:val="clear" w:color="auto" w:fill="FFFFFF"/>
            <w:tcMar>
              <w:top w:w="30" w:type="dxa"/>
              <w:left w:w="30" w:type="dxa"/>
              <w:bottom w:w="30" w:type="dxa"/>
              <w:right w:w="30" w:type="dxa"/>
            </w:tcMar>
            <w:vAlign w:val="center"/>
            <w:hideMark/>
          </w:tcPr>
          <w:p w14:paraId="2A49803F" w14:textId="77777777" w:rsidR="00092A09" w:rsidRPr="000A0C4D" w:rsidRDefault="007024BD">
            <w:pPr>
              <w:autoSpaceDE w:val="0"/>
              <w:autoSpaceDN w:val="0"/>
              <w:adjustRightInd w:val="0"/>
              <w:spacing w:after="0" w:line="240" w:lineRule="auto"/>
              <w:ind w:hanging="2"/>
              <w:jc w:val="center"/>
              <w:rPr>
                <w:rFonts w:ascii="Palatino Linotype" w:hAnsi="Palatino Linotype"/>
                <w:color w:val="000000"/>
                <w:sz w:val="20"/>
                <w:szCs w:val="20"/>
              </w:rPr>
            </w:pPr>
            <w:r w:rsidRPr="000A0C4D">
              <w:rPr>
                <w:rFonts w:ascii="Palatino Linotype" w:hAnsi="Palatino Linotype"/>
                <w:sz w:val="20"/>
                <w:szCs w:val="20"/>
              </w:rPr>
              <w:t>Student perception</w:t>
            </w:r>
          </w:p>
        </w:tc>
        <w:tc>
          <w:tcPr>
            <w:tcW w:w="1134" w:type="dxa"/>
            <w:tcBorders>
              <w:left w:val="nil"/>
              <w:bottom w:val="nil"/>
              <w:right w:val="nil"/>
            </w:tcBorders>
            <w:shd w:val="clear" w:color="auto" w:fill="FFFFFF"/>
            <w:tcMar>
              <w:top w:w="30" w:type="dxa"/>
              <w:left w:w="30" w:type="dxa"/>
              <w:bottom w:w="30" w:type="dxa"/>
              <w:right w:w="30" w:type="dxa"/>
            </w:tcMar>
            <w:vAlign w:val="center"/>
            <w:hideMark/>
          </w:tcPr>
          <w:p w14:paraId="60C9CC39" w14:textId="77777777" w:rsidR="00092A09" w:rsidRPr="000A0C4D" w:rsidRDefault="007024BD">
            <w:pPr>
              <w:autoSpaceDE w:val="0"/>
              <w:autoSpaceDN w:val="0"/>
              <w:adjustRightInd w:val="0"/>
              <w:spacing w:after="0" w:line="240" w:lineRule="auto"/>
              <w:ind w:hanging="2"/>
              <w:jc w:val="center"/>
              <w:rPr>
                <w:rFonts w:ascii="Palatino Linotype" w:hAnsi="Palatino Linotype"/>
                <w:color w:val="000000"/>
                <w:sz w:val="20"/>
                <w:szCs w:val="20"/>
              </w:rPr>
            </w:pPr>
            <w:r w:rsidRPr="000A0C4D">
              <w:rPr>
                <w:rFonts w:ascii="Palatino Linotype" w:hAnsi="Palatino Linotype"/>
                <w:color w:val="000000"/>
                <w:sz w:val="20"/>
                <w:szCs w:val="20"/>
              </w:rPr>
              <w:t>35</w:t>
            </w:r>
          </w:p>
        </w:tc>
        <w:tc>
          <w:tcPr>
            <w:tcW w:w="1559" w:type="dxa"/>
            <w:tcBorders>
              <w:left w:val="nil"/>
              <w:bottom w:val="nil"/>
              <w:right w:val="nil"/>
            </w:tcBorders>
            <w:shd w:val="clear" w:color="auto" w:fill="FFFFFF"/>
            <w:tcMar>
              <w:top w:w="30" w:type="dxa"/>
              <w:left w:w="30" w:type="dxa"/>
              <w:bottom w:w="30" w:type="dxa"/>
              <w:right w:w="30" w:type="dxa"/>
            </w:tcMar>
            <w:vAlign w:val="center"/>
            <w:hideMark/>
          </w:tcPr>
          <w:p w14:paraId="38AC90A8" w14:textId="77777777" w:rsidR="00092A09" w:rsidRPr="000A0C4D" w:rsidRDefault="007024BD">
            <w:pPr>
              <w:autoSpaceDE w:val="0"/>
              <w:autoSpaceDN w:val="0"/>
              <w:adjustRightInd w:val="0"/>
              <w:spacing w:after="0" w:line="240" w:lineRule="auto"/>
              <w:ind w:hanging="2"/>
              <w:jc w:val="center"/>
              <w:rPr>
                <w:rFonts w:ascii="Palatino Linotype" w:hAnsi="Palatino Linotype"/>
                <w:color w:val="000000"/>
                <w:sz w:val="20"/>
                <w:szCs w:val="20"/>
              </w:rPr>
            </w:pPr>
            <w:r w:rsidRPr="000A0C4D">
              <w:rPr>
                <w:rFonts w:ascii="Palatino Linotype" w:hAnsi="Palatino Linotype"/>
                <w:color w:val="000000"/>
                <w:sz w:val="20"/>
                <w:szCs w:val="20"/>
              </w:rPr>
              <w:t>45.00</w:t>
            </w:r>
          </w:p>
        </w:tc>
        <w:tc>
          <w:tcPr>
            <w:tcW w:w="2126" w:type="dxa"/>
            <w:tcBorders>
              <w:left w:val="nil"/>
              <w:bottom w:val="nil"/>
              <w:right w:val="nil"/>
            </w:tcBorders>
            <w:shd w:val="clear" w:color="auto" w:fill="FFFFFF"/>
            <w:tcMar>
              <w:top w:w="30" w:type="dxa"/>
              <w:left w:w="30" w:type="dxa"/>
              <w:bottom w:w="30" w:type="dxa"/>
              <w:right w:w="30" w:type="dxa"/>
            </w:tcMar>
            <w:vAlign w:val="center"/>
            <w:hideMark/>
          </w:tcPr>
          <w:p w14:paraId="4F3650BA" w14:textId="77777777" w:rsidR="00092A09" w:rsidRPr="000A0C4D" w:rsidRDefault="007024BD">
            <w:pPr>
              <w:autoSpaceDE w:val="0"/>
              <w:autoSpaceDN w:val="0"/>
              <w:adjustRightInd w:val="0"/>
              <w:spacing w:after="0" w:line="240" w:lineRule="auto"/>
              <w:ind w:hanging="2"/>
              <w:jc w:val="center"/>
              <w:rPr>
                <w:rFonts w:ascii="Palatino Linotype" w:hAnsi="Palatino Linotype"/>
                <w:color w:val="000000"/>
                <w:sz w:val="20"/>
                <w:szCs w:val="20"/>
              </w:rPr>
            </w:pPr>
            <w:r w:rsidRPr="000A0C4D">
              <w:rPr>
                <w:rFonts w:ascii="Palatino Linotype" w:hAnsi="Palatino Linotype"/>
                <w:color w:val="000000"/>
                <w:sz w:val="20"/>
                <w:szCs w:val="20"/>
              </w:rPr>
              <w:t>85.00</w:t>
            </w:r>
          </w:p>
        </w:tc>
        <w:tc>
          <w:tcPr>
            <w:tcW w:w="1134" w:type="dxa"/>
            <w:tcBorders>
              <w:left w:val="nil"/>
              <w:bottom w:val="nil"/>
              <w:right w:val="nil"/>
            </w:tcBorders>
            <w:shd w:val="clear" w:color="auto" w:fill="FFFFFF"/>
            <w:tcMar>
              <w:top w:w="30" w:type="dxa"/>
              <w:left w:w="30" w:type="dxa"/>
              <w:bottom w:w="30" w:type="dxa"/>
              <w:right w:w="30" w:type="dxa"/>
            </w:tcMar>
            <w:vAlign w:val="center"/>
            <w:hideMark/>
          </w:tcPr>
          <w:p w14:paraId="71C3C549" w14:textId="77777777" w:rsidR="00092A09" w:rsidRPr="000A0C4D" w:rsidRDefault="007024BD">
            <w:pPr>
              <w:autoSpaceDE w:val="0"/>
              <w:autoSpaceDN w:val="0"/>
              <w:adjustRightInd w:val="0"/>
              <w:spacing w:after="0" w:line="240" w:lineRule="auto"/>
              <w:ind w:hanging="2"/>
              <w:jc w:val="center"/>
              <w:rPr>
                <w:rFonts w:ascii="Palatino Linotype" w:hAnsi="Palatino Linotype"/>
                <w:color w:val="000000"/>
                <w:sz w:val="20"/>
                <w:szCs w:val="20"/>
              </w:rPr>
            </w:pPr>
            <w:r w:rsidRPr="000A0C4D">
              <w:rPr>
                <w:rFonts w:ascii="Palatino Linotype" w:hAnsi="Palatino Linotype"/>
                <w:color w:val="000000"/>
                <w:sz w:val="20"/>
                <w:szCs w:val="20"/>
              </w:rPr>
              <w:t>70.01</w:t>
            </w:r>
          </w:p>
        </w:tc>
        <w:tc>
          <w:tcPr>
            <w:tcW w:w="1624" w:type="dxa"/>
            <w:tcBorders>
              <w:left w:val="nil"/>
              <w:bottom w:val="nil"/>
              <w:right w:val="nil"/>
            </w:tcBorders>
            <w:shd w:val="clear" w:color="auto" w:fill="FFFFFF"/>
            <w:tcMar>
              <w:top w:w="30" w:type="dxa"/>
              <w:left w:w="30" w:type="dxa"/>
              <w:bottom w:w="30" w:type="dxa"/>
              <w:right w:w="30" w:type="dxa"/>
            </w:tcMar>
            <w:vAlign w:val="center"/>
            <w:hideMark/>
          </w:tcPr>
          <w:p w14:paraId="7E7479ED" w14:textId="77777777" w:rsidR="00092A09" w:rsidRPr="000A0C4D" w:rsidRDefault="007024BD">
            <w:pPr>
              <w:autoSpaceDE w:val="0"/>
              <w:autoSpaceDN w:val="0"/>
              <w:adjustRightInd w:val="0"/>
              <w:spacing w:after="0" w:line="240" w:lineRule="auto"/>
              <w:ind w:hanging="2"/>
              <w:jc w:val="center"/>
              <w:rPr>
                <w:rFonts w:ascii="Palatino Linotype" w:hAnsi="Palatino Linotype"/>
                <w:color w:val="000000"/>
                <w:sz w:val="20"/>
                <w:szCs w:val="20"/>
              </w:rPr>
            </w:pPr>
            <w:r w:rsidRPr="000A0C4D">
              <w:rPr>
                <w:rFonts w:ascii="Palatino Linotype" w:hAnsi="Palatino Linotype"/>
                <w:color w:val="000000"/>
                <w:sz w:val="20"/>
                <w:szCs w:val="20"/>
              </w:rPr>
              <w:t>8.52</w:t>
            </w:r>
          </w:p>
        </w:tc>
      </w:tr>
      <w:tr w:rsidR="003B03C8" w:rsidRPr="000A0C4D" w14:paraId="61ED804F" w14:textId="77777777" w:rsidTr="00D56D5E">
        <w:trPr>
          <w:cantSplit/>
          <w:trHeight w:val="269"/>
          <w:tblHeader/>
          <w:jc w:val="center"/>
        </w:trPr>
        <w:tc>
          <w:tcPr>
            <w:tcW w:w="1393" w:type="dxa"/>
            <w:tcBorders>
              <w:top w:val="nil"/>
              <w:left w:val="nil"/>
              <w:right w:val="nil"/>
            </w:tcBorders>
            <w:shd w:val="clear" w:color="auto" w:fill="FFFFFF"/>
            <w:tcMar>
              <w:top w:w="30" w:type="dxa"/>
              <w:left w:w="30" w:type="dxa"/>
              <w:bottom w:w="30" w:type="dxa"/>
              <w:right w:w="30" w:type="dxa"/>
            </w:tcMar>
            <w:vAlign w:val="center"/>
            <w:hideMark/>
          </w:tcPr>
          <w:p w14:paraId="3C82D772" w14:textId="77777777" w:rsidR="00092A09" w:rsidRPr="000A0C4D" w:rsidRDefault="007024BD">
            <w:pPr>
              <w:autoSpaceDE w:val="0"/>
              <w:autoSpaceDN w:val="0"/>
              <w:adjustRightInd w:val="0"/>
              <w:spacing w:after="0" w:line="240" w:lineRule="auto"/>
              <w:ind w:hanging="2"/>
              <w:jc w:val="center"/>
              <w:rPr>
                <w:rFonts w:ascii="Palatino Linotype" w:hAnsi="Palatino Linotype"/>
                <w:color w:val="000000"/>
                <w:sz w:val="20"/>
                <w:szCs w:val="20"/>
              </w:rPr>
            </w:pPr>
            <w:r w:rsidRPr="000A0C4D">
              <w:rPr>
                <w:rFonts w:ascii="Palatino Linotype" w:hAnsi="Palatino Linotype"/>
                <w:color w:val="000000"/>
                <w:sz w:val="20"/>
                <w:szCs w:val="20"/>
              </w:rPr>
              <w:t>Learning Motivation</w:t>
            </w:r>
          </w:p>
        </w:tc>
        <w:tc>
          <w:tcPr>
            <w:tcW w:w="1134" w:type="dxa"/>
            <w:tcBorders>
              <w:top w:val="nil"/>
              <w:left w:val="nil"/>
              <w:right w:val="nil"/>
            </w:tcBorders>
            <w:shd w:val="clear" w:color="auto" w:fill="FFFFFF"/>
            <w:tcMar>
              <w:top w:w="30" w:type="dxa"/>
              <w:left w:w="30" w:type="dxa"/>
              <w:bottom w:w="30" w:type="dxa"/>
              <w:right w:w="30" w:type="dxa"/>
            </w:tcMar>
            <w:vAlign w:val="center"/>
            <w:hideMark/>
          </w:tcPr>
          <w:p w14:paraId="029000E4" w14:textId="77777777" w:rsidR="00092A09" w:rsidRPr="000A0C4D" w:rsidRDefault="007024BD">
            <w:pPr>
              <w:autoSpaceDE w:val="0"/>
              <w:autoSpaceDN w:val="0"/>
              <w:adjustRightInd w:val="0"/>
              <w:spacing w:after="0" w:line="240" w:lineRule="auto"/>
              <w:ind w:hanging="2"/>
              <w:jc w:val="center"/>
              <w:rPr>
                <w:rFonts w:ascii="Palatino Linotype" w:hAnsi="Palatino Linotype"/>
                <w:color w:val="000000"/>
                <w:sz w:val="20"/>
                <w:szCs w:val="20"/>
              </w:rPr>
            </w:pPr>
            <w:r w:rsidRPr="000A0C4D">
              <w:rPr>
                <w:rFonts w:ascii="Palatino Linotype" w:hAnsi="Palatino Linotype"/>
                <w:color w:val="000000"/>
                <w:sz w:val="20"/>
                <w:szCs w:val="20"/>
              </w:rPr>
              <w:t>35</w:t>
            </w:r>
          </w:p>
        </w:tc>
        <w:tc>
          <w:tcPr>
            <w:tcW w:w="1559" w:type="dxa"/>
            <w:tcBorders>
              <w:top w:val="nil"/>
              <w:left w:val="nil"/>
              <w:right w:val="nil"/>
            </w:tcBorders>
            <w:shd w:val="clear" w:color="auto" w:fill="FFFFFF"/>
            <w:tcMar>
              <w:top w:w="30" w:type="dxa"/>
              <w:left w:w="30" w:type="dxa"/>
              <w:bottom w:w="30" w:type="dxa"/>
              <w:right w:w="30" w:type="dxa"/>
            </w:tcMar>
            <w:vAlign w:val="center"/>
            <w:hideMark/>
          </w:tcPr>
          <w:p w14:paraId="697EE173" w14:textId="77777777" w:rsidR="00092A09" w:rsidRPr="000A0C4D" w:rsidRDefault="007024BD">
            <w:pPr>
              <w:autoSpaceDE w:val="0"/>
              <w:autoSpaceDN w:val="0"/>
              <w:adjustRightInd w:val="0"/>
              <w:spacing w:after="0" w:line="240" w:lineRule="auto"/>
              <w:ind w:hanging="2"/>
              <w:jc w:val="center"/>
              <w:rPr>
                <w:rFonts w:ascii="Palatino Linotype" w:hAnsi="Palatino Linotype"/>
                <w:color w:val="000000"/>
                <w:sz w:val="20"/>
                <w:szCs w:val="20"/>
              </w:rPr>
            </w:pPr>
            <w:r w:rsidRPr="000A0C4D">
              <w:rPr>
                <w:rFonts w:ascii="Palatino Linotype" w:hAnsi="Palatino Linotype"/>
                <w:color w:val="000000"/>
                <w:sz w:val="20"/>
                <w:szCs w:val="20"/>
              </w:rPr>
              <w:t>35.85</w:t>
            </w:r>
          </w:p>
        </w:tc>
        <w:tc>
          <w:tcPr>
            <w:tcW w:w="2126" w:type="dxa"/>
            <w:tcBorders>
              <w:top w:val="nil"/>
              <w:left w:val="nil"/>
              <w:right w:val="nil"/>
            </w:tcBorders>
            <w:shd w:val="clear" w:color="auto" w:fill="FFFFFF"/>
            <w:tcMar>
              <w:top w:w="30" w:type="dxa"/>
              <w:left w:w="30" w:type="dxa"/>
              <w:bottom w:w="30" w:type="dxa"/>
              <w:right w:w="30" w:type="dxa"/>
            </w:tcMar>
            <w:vAlign w:val="center"/>
            <w:hideMark/>
          </w:tcPr>
          <w:p w14:paraId="439BE294" w14:textId="77777777" w:rsidR="00092A09" w:rsidRPr="000A0C4D" w:rsidRDefault="007024BD">
            <w:pPr>
              <w:autoSpaceDE w:val="0"/>
              <w:autoSpaceDN w:val="0"/>
              <w:adjustRightInd w:val="0"/>
              <w:spacing w:after="0" w:line="240" w:lineRule="auto"/>
              <w:ind w:hanging="2"/>
              <w:jc w:val="center"/>
              <w:rPr>
                <w:rFonts w:ascii="Palatino Linotype" w:hAnsi="Palatino Linotype"/>
                <w:color w:val="000000"/>
                <w:sz w:val="20"/>
                <w:szCs w:val="20"/>
              </w:rPr>
            </w:pPr>
            <w:r w:rsidRPr="000A0C4D">
              <w:rPr>
                <w:rFonts w:ascii="Palatino Linotype" w:hAnsi="Palatino Linotype"/>
                <w:color w:val="000000"/>
                <w:sz w:val="20"/>
                <w:szCs w:val="20"/>
              </w:rPr>
              <w:t>90.80</w:t>
            </w:r>
          </w:p>
        </w:tc>
        <w:tc>
          <w:tcPr>
            <w:tcW w:w="1134" w:type="dxa"/>
            <w:tcBorders>
              <w:top w:val="nil"/>
              <w:left w:val="nil"/>
              <w:right w:val="nil"/>
            </w:tcBorders>
            <w:shd w:val="clear" w:color="auto" w:fill="FFFFFF"/>
            <w:tcMar>
              <w:top w:w="30" w:type="dxa"/>
              <w:left w:w="30" w:type="dxa"/>
              <w:bottom w:w="30" w:type="dxa"/>
              <w:right w:w="30" w:type="dxa"/>
            </w:tcMar>
            <w:vAlign w:val="center"/>
            <w:hideMark/>
          </w:tcPr>
          <w:p w14:paraId="4E502487" w14:textId="77777777" w:rsidR="00092A09" w:rsidRPr="000A0C4D" w:rsidRDefault="007024BD">
            <w:pPr>
              <w:autoSpaceDE w:val="0"/>
              <w:autoSpaceDN w:val="0"/>
              <w:adjustRightInd w:val="0"/>
              <w:spacing w:after="0" w:line="240" w:lineRule="auto"/>
              <w:ind w:hanging="2"/>
              <w:jc w:val="center"/>
              <w:rPr>
                <w:rFonts w:ascii="Palatino Linotype" w:hAnsi="Palatino Linotype"/>
                <w:color w:val="000000"/>
                <w:sz w:val="20"/>
                <w:szCs w:val="20"/>
              </w:rPr>
            </w:pPr>
            <w:r w:rsidRPr="000A0C4D">
              <w:rPr>
                <w:rFonts w:ascii="Palatino Linotype" w:hAnsi="Palatino Linotype"/>
                <w:color w:val="000000"/>
                <w:sz w:val="20"/>
                <w:szCs w:val="20"/>
              </w:rPr>
              <w:t>75.01</w:t>
            </w:r>
          </w:p>
        </w:tc>
        <w:tc>
          <w:tcPr>
            <w:tcW w:w="1624" w:type="dxa"/>
            <w:tcBorders>
              <w:top w:val="nil"/>
              <w:left w:val="nil"/>
              <w:right w:val="nil"/>
            </w:tcBorders>
            <w:shd w:val="clear" w:color="auto" w:fill="FFFFFF"/>
            <w:tcMar>
              <w:top w:w="30" w:type="dxa"/>
              <w:left w:w="30" w:type="dxa"/>
              <w:bottom w:w="30" w:type="dxa"/>
              <w:right w:w="30" w:type="dxa"/>
            </w:tcMar>
            <w:vAlign w:val="center"/>
            <w:hideMark/>
          </w:tcPr>
          <w:p w14:paraId="739623EF" w14:textId="77777777" w:rsidR="00092A09" w:rsidRPr="000A0C4D" w:rsidRDefault="007024BD">
            <w:pPr>
              <w:autoSpaceDE w:val="0"/>
              <w:autoSpaceDN w:val="0"/>
              <w:adjustRightInd w:val="0"/>
              <w:spacing w:after="0" w:line="240" w:lineRule="auto"/>
              <w:ind w:hanging="2"/>
              <w:jc w:val="center"/>
              <w:rPr>
                <w:rFonts w:ascii="Palatino Linotype" w:hAnsi="Palatino Linotype"/>
                <w:color w:val="000000"/>
                <w:sz w:val="20"/>
                <w:szCs w:val="20"/>
              </w:rPr>
            </w:pPr>
            <w:r w:rsidRPr="000A0C4D">
              <w:rPr>
                <w:rFonts w:ascii="Palatino Linotype" w:hAnsi="Palatino Linotype"/>
                <w:color w:val="000000"/>
                <w:sz w:val="20"/>
                <w:szCs w:val="20"/>
              </w:rPr>
              <w:t>13.43</w:t>
            </w:r>
          </w:p>
        </w:tc>
      </w:tr>
    </w:tbl>
    <w:p w14:paraId="6F603388" w14:textId="77777777" w:rsidR="0058178B" w:rsidRPr="000A0C4D" w:rsidRDefault="0058178B" w:rsidP="0058178B">
      <w:pPr>
        <w:ind w:hanging="2"/>
        <w:rPr>
          <w:b/>
        </w:rPr>
      </w:pPr>
    </w:p>
    <w:p w14:paraId="58A5EAA1" w14:textId="77777777" w:rsidR="00092A09" w:rsidRPr="000A0C4D" w:rsidRDefault="007024BD">
      <w:pPr>
        <w:spacing w:after="0"/>
        <w:ind w:hanging="2"/>
        <w:rPr>
          <w:rFonts w:ascii="Palatino Linotype" w:hAnsi="Palatino Linotype"/>
          <w:b/>
          <w:sz w:val="20"/>
          <w:szCs w:val="20"/>
          <w:lang w:val="id-ID"/>
        </w:rPr>
      </w:pPr>
      <w:r w:rsidRPr="000A0C4D">
        <w:rPr>
          <w:rFonts w:ascii="Palatino Linotype" w:hAnsi="Palatino Linotype"/>
          <w:b/>
          <w:sz w:val="20"/>
          <w:szCs w:val="20"/>
          <w:lang w:val="id-ID"/>
        </w:rPr>
        <w:t>Hypothesis Test</w:t>
      </w:r>
    </w:p>
    <w:p w14:paraId="70271700" w14:textId="77777777" w:rsidR="00092A09" w:rsidRPr="000A0C4D" w:rsidRDefault="007024BD">
      <w:pPr>
        <w:tabs>
          <w:tab w:val="left" w:pos="567"/>
        </w:tabs>
        <w:spacing w:after="0"/>
        <w:ind w:left="-2" w:firstLineChars="283" w:firstLine="566"/>
        <w:jc w:val="both"/>
        <w:rPr>
          <w:rFonts w:ascii="Palatino Linotype" w:hAnsi="Palatino Linotype"/>
          <w:sz w:val="20"/>
          <w:szCs w:val="20"/>
        </w:rPr>
      </w:pPr>
      <w:r w:rsidRPr="000A0C4D">
        <w:rPr>
          <w:rFonts w:ascii="Palatino Linotype" w:hAnsi="Palatino Linotype"/>
          <w:sz w:val="20"/>
          <w:szCs w:val="20"/>
        </w:rPr>
        <w:t xml:space="preserve">Based on the ANOVA results, as shown in Table 2, it is known that the significance value of 0.224. </w:t>
      </w:r>
      <w:proofErr w:type="gramStart"/>
      <w:r w:rsidRPr="000A0C4D">
        <w:rPr>
          <w:rFonts w:ascii="Palatino Linotype" w:hAnsi="Palatino Linotype"/>
          <w:sz w:val="20"/>
          <w:szCs w:val="20"/>
        </w:rPr>
        <w:t>it</w:t>
      </w:r>
      <w:proofErr w:type="gramEnd"/>
      <w:r w:rsidRPr="000A0C4D">
        <w:rPr>
          <w:rFonts w:ascii="Palatino Linotype" w:hAnsi="Palatino Linotype"/>
          <w:sz w:val="20"/>
          <w:szCs w:val="20"/>
        </w:rPr>
        <w:t xml:space="preserve"> is more significant than alpha 0.05, meaning there is no correlation between student perceptions </w:t>
      </w:r>
      <w:r w:rsidRPr="000A0C4D">
        <w:rPr>
          <w:rFonts w:ascii="Palatino Linotype" w:hAnsi="Palatino Linotype"/>
          <w:sz w:val="20"/>
          <w:szCs w:val="20"/>
          <w:lang w:val="id-ID"/>
        </w:rPr>
        <w:t>and</w:t>
      </w:r>
      <w:r w:rsidRPr="000A0C4D">
        <w:rPr>
          <w:rFonts w:ascii="Palatino Linotype" w:hAnsi="Palatino Linotype"/>
          <w:sz w:val="20"/>
          <w:szCs w:val="20"/>
        </w:rPr>
        <w:t xml:space="preserve"> </w:t>
      </w:r>
      <w:r w:rsidRPr="000A0C4D">
        <w:rPr>
          <w:rFonts w:ascii="Palatino Linotype" w:hAnsi="Palatino Linotype"/>
          <w:sz w:val="20"/>
          <w:szCs w:val="20"/>
          <w:lang w:val="id-ID"/>
        </w:rPr>
        <w:t xml:space="preserve">learning </w:t>
      </w:r>
      <w:r w:rsidRPr="000A0C4D">
        <w:rPr>
          <w:rFonts w:ascii="Palatino Linotype" w:hAnsi="Palatino Linotype"/>
          <w:sz w:val="20"/>
          <w:szCs w:val="20"/>
        </w:rPr>
        <w:t xml:space="preserve">motivation. </w:t>
      </w:r>
    </w:p>
    <w:p w14:paraId="26AA4626" w14:textId="77777777" w:rsidR="0058178B" w:rsidRPr="000A0C4D" w:rsidRDefault="007024BD" w:rsidP="002225A6">
      <w:pPr>
        <w:spacing w:after="0"/>
        <w:ind w:hanging="2"/>
        <w:jc w:val="both"/>
        <w:rPr>
          <w:rFonts w:ascii="Palatino Linotype" w:hAnsi="Palatino Linotype"/>
          <w:sz w:val="20"/>
          <w:szCs w:val="20"/>
        </w:rPr>
      </w:pPr>
      <w:r w:rsidRPr="000A0C4D">
        <w:rPr>
          <w:rFonts w:ascii="Palatino Linotype" w:hAnsi="Palatino Linotype"/>
          <w:sz w:val="20"/>
          <w:szCs w:val="20"/>
        </w:rPr>
        <w:t xml:space="preserve"> </w:t>
      </w:r>
    </w:p>
    <w:p w14:paraId="6D51F00D" w14:textId="77777777" w:rsidR="00092A09" w:rsidRPr="000A0C4D" w:rsidRDefault="007024BD">
      <w:pPr>
        <w:pStyle w:val="ListParagraph"/>
        <w:spacing w:after="0" w:line="240" w:lineRule="auto"/>
        <w:ind w:left="0" w:hanging="2"/>
        <w:rPr>
          <w:rFonts w:ascii="Palatino Linotype" w:hAnsi="Palatino Linotype"/>
          <w:b/>
          <w:sz w:val="20"/>
          <w:szCs w:val="20"/>
        </w:rPr>
      </w:pPr>
      <w:r w:rsidRPr="000A0C4D">
        <w:rPr>
          <w:rFonts w:ascii="Palatino Linotype" w:hAnsi="Palatino Linotype"/>
          <w:sz w:val="20"/>
          <w:szCs w:val="20"/>
          <w:lang w:val="en-US"/>
        </w:rPr>
        <w:t xml:space="preserve">The </w:t>
      </w:r>
      <w:r w:rsidR="000201DB" w:rsidRPr="000A0C4D">
        <w:rPr>
          <w:rFonts w:ascii="Palatino Linotype" w:hAnsi="Palatino Linotype"/>
          <w:sz w:val="20"/>
          <w:szCs w:val="20"/>
        </w:rPr>
        <w:t>A</w:t>
      </w:r>
      <w:r w:rsidRPr="000A0C4D">
        <w:rPr>
          <w:rFonts w:ascii="Palatino Linotype" w:hAnsi="Palatino Linotype"/>
          <w:sz w:val="20"/>
          <w:szCs w:val="20"/>
          <w:lang w:val="en-US"/>
        </w:rPr>
        <w:t xml:space="preserve">NOVA </w:t>
      </w:r>
      <w:r w:rsidR="000201DB" w:rsidRPr="000A0C4D">
        <w:rPr>
          <w:rFonts w:ascii="Palatino Linotype" w:hAnsi="Palatino Linotype"/>
          <w:sz w:val="20"/>
          <w:szCs w:val="20"/>
        </w:rPr>
        <w:t>Summary of Correlation between Student Perception and Learning Motivation</w:t>
      </w:r>
    </w:p>
    <w:tbl>
      <w:tblPr>
        <w:tblW w:w="9027" w:type="dxa"/>
        <w:tblInd w:w="45" w:type="dxa"/>
        <w:tblLayout w:type="fixed"/>
        <w:tblCellMar>
          <w:left w:w="0" w:type="dxa"/>
          <w:right w:w="0" w:type="dxa"/>
        </w:tblCellMar>
        <w:tblLook w:val="04A0" w:firstRow="1" w:lastRow="0" w:firstColumn="1" w:lastColumn="0" w:noHBand="0" w:noVBand="1"/>
      </w:tblPr>
      <w:tblGrid>
        <w:gridCol w:w="736"/>
        <w:gridCol w:w="62"/>
        <w:gridCol w:w="868"/>
        <w:gridCol w:w="362"/>
        <w:gridCol w:w="1051"/>
        <w:gridCol w:w="704"/>
        <w:gridCol w:w="708"/>
        <w:gridCol w:w="1674"/>
        <w:gridCol w:w="27"/>
        <w:gridCol w:w="851"/>
        <w:gridCol w:w="1984"/>
      </w:tblGrid>
      <w:tr w:rsidR="003B03C8" w:rsidRPr="000A0C4D" w14:paraId="6CCA79F7" w14:textId="77777777" w:rsidTr="00D56D5E">
        <w:trPr>
          <w:cantSplit/>
        </w:trPr>
        <w:tc>
          <w:tcPr>
            <w:tcW w:w="2028" w:type="dxa"/>
            <w:gridSpan w:val="4"/>
            <w:tcBorders>
              <w:top w:val="single" w:sz="4" w:space="0" w:color="auto"/>
              <w:left w:val="nil"/>
              <w:bottom w:val="single" w:sz="4" w:space="0" w:color="auto"/>
              <w:right w:val="nil"/>
            </w:tcBorders>
            <w:shd w:val="clear" w:color="auto" w:fill="FFFFFF"/>
            <w:vAlign w:val="bottom"/>
            <w:hideMark/>
          </w:tcPr>
          <w:p w14:paraId="7B73112A" w14:textId="77777777" w:rsidR="00092A09" w:rsidRPr="000A0C4D" w:rsidRDefault="007024BD">
            <w:pPr>
              <w:autoSpaceDE w:val="0"/>
              <w:autoSpaceDN w:val="0"/>
              <w:adjustRightInd w:val="0"/>
              <w:spacing w:after="0"/>
              <w:ind w:right="60" w:hanging="2"/>
              <w:jc w:val="center"/>
              <w:rPr>
                <w:rFonts w:ascii="Palatino Linotype" w:hAnsi="Palatino Linotype"/>
                <w:b/>
                <w:color w:val="000000"/>
                <w:sz w:val="20"/>
                <w:szCs w:val="20"/>
                <w:lang w:eastAsia="id-ID"/>
              </w:rPr>
            </w:pPr>
            <w:r w:rsidRPr="000A0C4D">
              <w:rPr>
                <w:rFonts w:ascii="Palatino Linotype" w:hAnsi="Palatino Linotype"/>
                <w:b/>
                <w:color w:val="000000"/>
                <w:sz w:val="20"/>
                <w:szCs w:val="20"/>
                <w:lang w:eastAsia="id-ID"/>
              </w:rPr>
              <w:t>Model</w:t>
            </w:r>
          </w:p>
        </w:tc>
        <w:tc>
          <w:tcPr>
            <w:tcW w:w="1755" w:type="dxa"/>
            <w:gridSpan w:val="2"/>
            <w:tcBorders>
              <w:top w:val="single" w:sz="4" w:space="0" w:color="auto"/>
              <w:left w:val="nil"/>
              <w:bottom w:val="single" w:sz="4" w:space="0" w:color="auto"/>
              <w:right w:val="nil"/>
            </w:tcBorders>
            <w:shd w:val="clear" w:color="auto" w:fill="FFFFFF"/>
            <w:vAlign w:val="bottom"/>
            <w:hideMark/>
          </w:tcPr>
          <w:p w14:paraId="08666E93" w14:textId="77777777" w:rsidR="00092A09" w:rsidRPr="000A0C4D" w:rsidRDefault="007024BD">
            <w:pPr>
              <w:autoSpaceDE w:val="0"/>
              <w:autoSpaceDN w:val="0"/>
              <w:adjustRightInd w:val="0"/>
              <w:spacing w:after="0"/>
              <w:ind w:right="60" w:hanging="2"/>
              <w:jc w:val="center"/>
              <w:rPr>
                <w:rFonts w:ascii="Palatino Linotype" w:hAnsi="Palatino Linotype"/>
                <w:b/>
                <w:color w:val="000000"/>
                <w:sz w:val="20"/>
                <w:szCs w:val="20"/>
                <w:lang w:eastAsia="id-ID"/>
              </w:rPr>
            </w:pPr>
            <w:r w:rsidRPr="000A0C4D">
              <w:rPr>
                <w:rFonts w:ascii="Palatino Linotype" w:hAnsi="Palatino Linotype"/>
                <w:b/>
                <w:color w:val="000000"/>
                <w:sz w:val="20"/>
                <w:szCs w:val="20"/>
                <w:lang w:eastAsia="id-ID"/>
              </w:rPr>
              <w:t>Sum of Squares</w:t>
            </w:r>
          </w:p>
        </w:tc>
        <w:tc>
          <w:tcPr>
            <w:tcW w:w="708" w:type="dxa"/>
            <w:tcBorders>
              <w:top w:val="single" w:sz="4" w:space="0" w:color="auto"/>
              <w:left w:val="nil"/>
              <w:bottom w:val="single" w:sz="4" w:space="0" w:color="auto"/>
              <w:right w:val="nil"/>
            </w:tcBorders>
            <w:shd w:val="clear" w:color="auto" w:fill="FFFFFF"/>
            <w:vAlign w:val="bottom"/>
            <w:hideMark/>
          </w:tcPr>
          <w:p w14:paraId="5CACA9AF" w14:textId="77777777" w:rsidR="00092A09" w:rsidRPr="000A0C4D" w:rsidRDefault="007024BD">
            <w:pPr>
              <w:autoSpaceDE w:val="0"/>
              <w:autoSpaceDN w:val="0"/>
              <w:adjustRightInd w:val="0"/>
              <w:spacing w:after="0"/>
              <w:ind w:right="60" w:hanging="2"/>
              <w:jc w:val="center"/>
              <w:rPr>
                <w:rFonts w:ascii="Palatino Linotype" w:hAnsi="Palatino Linotype"/>
                <w:b/>
                <w:color w:val="000000"/>
                <w:sz w:val="20"/>
                <w:szCs w:val="20"/>
                <w:lang w:eastAsia="id-ID"/>
              </w:rPr>
            </w:pPr>
            <w:proofErr w:type="spellStart"/>
            <w:r w:rsidRPr="000A0C4D">
              <w:rPr>
                <w:rFonts w:ascii="Palatino Linotype" w:hAnsi="Palatino Linotype"/>
                <w:b/>
                <w:color w:val="000000"/>
                <w:sz w:val="20"/>
                <w:szCs w:val="20"/>
                <w:lang w:eastAsia="id-ID"/>
              </w:rPr>
              <w:t>df</w:t>
            </w:r>
            <w:proofErr w:type="spellEnd"/>
          </w:p>
        </w:tc>
        <w:tc>
          <w:tcPr>
            <w:tcW w:w="1701" w:type="dxa"/>
            <w:gridSpan w:val="2"/>
            <w:tcBorders>
              <w:top w:val="single" w:sz="4" w:space="0" w:color="auto"/>
              <w:left w:val="nil"/>
              <w:bottom w:val="single" w:sz="4" w:space="0" w:color="auto"/>
              <w:right w:val="nil"/>
            </w:tcBorders>
            <w:shd w:val="clear" w:color="auto" w:fill="FFFFFF"/>
            <w:vAlign w:val="bottom"/>
            <w:hideMark/>
          </w:tcPr>
          <w:p w14:paraId="66F685D3" w14:textId="77777777" w:rsidR="00092A09" w:rsidRPr="000A0C4D" w:rsidRDefault="007024BD">
            <w:pPr>
              <w:autoSpaceDE w:val="0"/>
              <w:autoSpaceDN w:val="0"/>
              <w:adjustRightInd w:val="0"/>
              <w:spacing w:after="0"/>
              <w:ind w:right="60" w:hanging="2"/>
              <w:jc w:val="center"/>
              <w:rPr>
                <w:rFonts w:ascii="Palatino Linotype" w:hAnsi="Palatino Linotype"/>
                <w:b/>
                <w:color w:val="000000"/>
                <w:sz w:val="20"/>
                <w:szCs w:val="20"/>
                <w:lang w:eastAsia="id-ID"/>
              </w:rPr>
            </w:pPr>
            <w:r w:rsidRPr="000A0C4D">
              <w:rPr>
                <w:rFonts w:ascii="Palatino Linotype" w:hAnsi="Palatino Linotype"/>
                <w:b/>
                <w:color w:val="000000"/>
                <w:sz w:val="20"/>
                <w:szCs w:val="20"/>
                <w:lang w:eastAsia="id-ID"/>
              </w:rPr>
              <w:t>Mean Square</w:t>
            </w:r>
          </w:p>
        </w:tc>
        <w:tc>
          <w:tcPr>
            <w:tcW w:w="851" w:type="dxa"/>
            <w:tcBorders>
              <w:top w:val="single" w:sz="4" w:space="0" w:color="auto"/>
              <w:left w:val="nil"/>
              <w:bottom w:val="single" w:sz="4" w:space="0" w:color="auto"/>
              <w:right w:val="nil"/>
            </w:tcBorders>
            <w:shd w:val="clear" w:color="auto" w:fill="FFFFFF"/>
            <w:vAlign w:val="bottom"/>
            <w:hideMark/>
          </w:tcPr>
          <w:p w14:paraId="1A78D508" w14:textId="77777777" w:rsidR="00092A09" w:rsidRPr="000A0C4D" w:rsidRDefault="007024BD">
            <w:pPr>
              <w:autoSpaceDE w:val="0"/>
              <w:autoSpaceDN w:val="0"/>
              <w:adjustRightInd w:val="0"/>
              <w:spacing w:after="0"/>
              <w:ind w:right="60" w:hanging="2"/>
              <w:jc w:val="center"/>
              <w:rPr>
                <w:rFonts w:ascii="Palatino Linotype" w:hAnsi="Palatino Linotype"/>
                <w:b/>
                <w:color w:val="000000"/>
                <w:sz w:val="20"/>
                <w:szCs w:val="20"/>
                <w:lang w:eastAsia="id-ID"/>
              </w:rPr>
            </w:pPr>
            <w:r w:rsidRPr="000A0C4D">
              <w:rPr>
                <w:rFonts w:ascii="Palatino Linotype" w:hAnsi="Palatino Linotype"/>
                <w:b/>
                <w:color w:val="000000"/>
                <w:sz w:val="20"/>
                <w:szCs w:val="20"/>
                <w:lang w:eastAsia="id-ID"/>
              </w:rPr>
              <w:t>F</w:t>
            </w:r>
          </w:p>
        </w:tc>
        <w:tc>
          <w:tcPr>
            <w:tcW w:w="1984" w:type="dxa"/>
            <w:tcBorders>
              <w:top w:val="single" w:sz="4" w:space="0" w:color="auto"/>
              <w:left w:val="nil"/>
              <w:bottom w:val="single" w:sz="4" w:space="0" w:color="auto"/>
              <w:right w:val="nil"/>
            </w:tcBorders>
            <w:shd w:val="clear" w:color="auto" w:fill="FFFFFF"/>
            <w:vAlign w:val="bottom"/>
            <w:hideMark/>
          </w:tcPr>
          <w:p w14:paraId="28916488" w14:textId="77777777" w:rsidR="00092A09" w:rsidRPr="000A0C4D" w:rsidRDefault="007024BD">
            <w:pPr>
              <w:autoSpaceDE w:val="0"/>
              <w:autoSpaceDN w:val="0"/>
              <w:adjustRightInd w:val="0"/>
              <w:spacing w:after="0"/>
              <w:ind w:right="60" w:hanging="2"/>
              <w:jc w:val="center"/>
              <w:rPr>
                <w:rFonts w:ascii="Palatino Linotype" w:hAnsi="Palatino Linotype"/>
                <w:b/>
                <w:color w:val="000000"/>
                <w:sz w:val="20"/>
                <w:szCs w:val="20"/>
                <w:lang w:eastAsia="id-ID"/>
              </w:rPr>
            </w:pPr>
            <w:r w:rsidRPr="000A0C4D">
              <w:rPr>
                <w:rFonts w:ascii="Palatino Linotype" w:hAnsi="Palatino Linotype"/>
                <w:b/>
                <w:color w:val="000000"/>
                <w:sz w:val="20"/>
                <w:szCs w:val="20"/>
                <w:lang w:eastAsia="id-ID"/>
              </w:rPr>
              <w:t>Sig.</w:t>
            </w:r>
          </w:p>
        </w:tc>
      </w:tr>
      <w:tr w:rsidR="003B03C8" w:rsidRPr="000A0C4D" w14:paraId="1F4D94C7" w14:textId="77777777" w:rsidTr="00D56D5E">
        <w:trPr>
          <w:cantSplit/>
        </w:trPr>
        <w:tc>
          <w:tcPr>
            <w:tcW w:w="736" w:type="dxa"/>
            <w:vMerge w:val="restart"/>
            <w:tcBorders>
              <w:top w:val="single" w:sz="4" w:space="0" w:color="auto"/>
              <w:left w:val="nil"/>
              <w:bottom w:val="single" w:sz="4" w:space="0" w:color="auto"/>
              <w:right w:val="nil"/>
            </w:tcBorders>
            <w:shd w:val="clear" w:color="auto" w:fill="FFFFFF"/>
            <w:hideMark/>
          </w:tcPr>
          <w:p w14:paraId="2EB5DA4A" w14:textId="77777777" w:rsidR="00092A09" w:rsidRPr="000A0C4D" w:rsidRDefault="007024BD">
            <w:pPr>
              <w:autoSpaceDE w:val="0"/>
              <w:autoSpaceDN w:val="0"/>
              <w:adjustRightInd w:val="0"/>
              <w:spacing w:after="0"/>
              <w:ind w:right="60" w:hanging="2"/>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1</w:t>
            </w:r>
          </w:p>
        </w:tc>
        <w:tc>
          <w:tcPr>
            <w:tcW w:w="1292" w:type="dxa"/>
            <w:gridSpan w:val="3"/>
            <w:tcBorders>
              <w:top w:val="single" w:sz="4" w:space="0" w:color="auto"/>
              <w:left w:val="nil"/>
              <w:bottom w:val="single" w:sz="4" w:space="0" w:color="auto"/>
              <w:right w:val="nil"/>
            </w:tcBorders>
            <w:shd w:val="clear" w:color="auto" w:fill="FFFFFF"/>
            <w:hideMark/>
          </w:tcPr>
          <w:p w14:paraId="11840F8B" w14:textId="77777777" w:rsidR="00092A09" w:rsidRPr="000A0C4D" w:rsidRDefault="007024BD">
            <w:pPr>
              <w:autoSpaceDE w:val="0"/>
              <w:autoSpaceDN w:val="0"/>
              <w:adjustRightInd w:val="0"/>
              <w:spacing w:after="0"/>
              <w:ind w:right="60" w:hanging="2"/>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Regression</w:t>
            </w:r>
          </w:p>
        </w:tc>
        <w:tc>
          <w:tcPr>
            <w:tcW w:w="1755" w:type="dxa"/>
            <w:gridSpan w:val="2"/>
            <w:tcBorders>
              <w:top w:val="single" w:sz="4" w:space="0" w:color="auto"/>
              <w:left w:val="nil"/>
              <w:bottom w:val="single" w:sz="4" w:space="0" w:color="auto"/>
              <w:right w:val="nil"/>
            </w:tcBorders>
            <w:shd w:val="clear" w:color="auto" w:fill="FFFFFF"/>
            <w:vAlign w:val="center"/>
            <w:hideMark/>
          </w:tcPr>
          <w:p w14:paraId="125505FD" w14:textId="77777777" w:rsidR="00092A09" w:rsidRPr="000A0C4D" w:rsidRDefault="007024BD">
            <w:pPr>
              <w:autoSpaceDE w:val="0"/>
              <w:autoSpaceDN w:val="0"/>
              <w:adjustRightInd w:val="0"/>
              <w:spacing w:after="0"/>
              <w:ind w:hanging="2"/>
              <w:jc w:val="right"/>
              <w:rPr>
                <w:rFonts w:ascii="Palatino Linotype" w:hAnsi="Palatino Linotype"/>
                <w:color w:val="000000"/>
                <w:sz w:val="20"/>
                <w:szCs w:val="20"/>
              </w:rPr>
            </w:pPr>
            <w:r w:rsidRPr="000A0C4D">
              <w:rPr>
                <w:rFonts w:ascii="Palatino Linotype" w:hAnsi="Palatino Linotype"/>
                <w:color w:val="000000"/>
                <w:sz w:val="20"/>
                <w:szCs w:val="20"/>
              </w:rPr>
              <w:t>269.775</w:t>
            </w:r>
          </w:p>
        </w:tc>
        <w:tc>
          <w:tcPr>
            <w:tcW w:w="708" w:type="dxa"/>
            <w:tcBorders>
              <w:top w:val="single" w:sz="4" w:space="0" w:color="auto"/>
              <w:left w:val="nil"/>
              <w:bottom w:val="single" w:sz="4" w:space="0" w:color="auto"/>
              <w:right w:val="nil"/>
            </w:tcBorders>
            <w:shd w:val="clear" w:color="auto" w:fill="FFFFFF"/>
            <w:vAlign w:val="center"/>
            <w:hideMark/>
          </w:tcPr>
          <w:p w14:paraId="62D3811E" w14:textId="77777777" w:rsidR="00092A09" w:rsidRPr="000A0C4D" w:rsidRDefault="007024BD">
            <w:pPr>
              <w:autoSpaceDE w:val="0"/>
              <w:autoSpaceDN w:val="0"/>
              <w:adjustRightInd w:val="0"/>
              <w:spacing w:after="0"/>
              <w:ind w:hanging="2"/>
              <w:jc w:val="center"/>
              <w:rPr>
                <w:rFonts w:ascii="Palatino Linotype" w:hAnsi="Palatino Linotype"/>
                <w:color w:val="000000"/>
                <w:sz w:val="20"/>
                <w:szCs w:val="20"/>
              </w:rPr>
            </w:pPr>
            <w:r w:rsidRPr="000A0C4D">
              <w:rPr>
                <w:rFonts w:ascii="Palatino Linotype" w:hAnsi="Palatino Linotype"/>
                <w:color w:val="000000"/>
                <w:sz w:val="20"/>
                <w:szCs w:val="20"/>
              </w:rPr>
              <w:t xml:space="preserve"> 1</w:t>
            </w:r>
          </w:p>
        </w:tc>
        <w:tc>
          <w:tcPr>
            <w:tcW w:w="1701" w:type="dxa"/>
            <w:gridSpan w:val="2"/>
            <w:tcBorders>
              <w:top w:val="single" w:sz="4" w:space="0" w:color="auto"/>
              <w:left w:val="nil"/>
              <w:bottom w:val="single" w:sz="4" w:space="0" w:color="auto"/>
              <w:right w:val="nil"/>
            </w:tcBorders>
            <w:shd w:val="clear" w:color="auto" w:fill="FFFFFF"/>
            <w:vAlign w:val="center"/>
            <w:hideMark/>
          </w:tcPr>
          <w:p w14:paraId="670D3D4E" w14:textId="77777777" w:rsidR="00092A09" w:rsidRPr="000A0C4D" w:rsidRDefault="007024BD">
            <w:pPr>
              <w:autoSpaceDE w:val="0"/>
              <w:autoSpaceDN w:val="0"/>
              <w:adjustRightInd w:val="0"/>
              <w:spacing w:after="0"/>
              <w:ind w:hanging="2"/>
              <w:jc w:val="center"/>
              <w:rPr>
                <w:rFonts w:ascii="Palatino Linotype" w:hAnsi="Palatino Linotype"/>
                <w:color w:val="000000"/>
                <w:sz w:val="20"/>
                <w:szCs w:val="20"/>
              </w:rPr>
            </w:pPr>
            <w:r w:rsidRPr="000A0C4D">
              <w:rPr>
                <w:rFonts w:ascii="Palatino Linotype" w:hAnsi="Palatino Linotype"/>
                <w:color w:val="000000"/>
                <w:sz w:val="20"/>
                <w:szCs w:val="20"/>
              </w:rPr>
              <w:t>269.775</w:t>
            </w:r>
          </w:p>
        </w:tc>
        <w:tc>
          <w:tcPr>
            <w:tcW w:w="851" w:type="dxa"/>
            <w:tcBorders>
              <w:top w:val="single" w:sz="4" w:space="0" w:color="auto"/>
              <w:left w:val="nil"/>
              <w:bottom w:val="single" w:sz="4" w:space="0" w:color="auto"/>
              <w:right w:val="nil"/>
            </w:tcBorders>
            <w:shd w:val="clear" w:color="auto" w:fill="FFFFFF"/>
            <w:vAlign w:val="center"/>
            <w:hideMark/>
          </w:tcPr>
          <w:p w14:paraId="01F5B846"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rPr>
              <w:t>1.506</w:t>
            </w:r>
          </w:p>
        </w:tc>
        <w:tc>
          <w:tcPr>
            <w:tcW w:w="1984" w:type="dxa"/>
            <w:tcBorders>
              <w:top w:val="single" w:sz="4" w:space="0" w:color="auto"/>
              <w:left w:val="nil"/>
              <w:bottom w:val="single" w:sz="4" w:space="0" w:color="auto"/>
              <w:right w:val="nil"/>
            </w:tcBorders>
            <w:shd w:val="clear" w:color="auto" w:fill="FFFFFF"/>
            <w:vAlign w:val="center"/>
            <w:hideMark/>
          </w:tcPr>
          <w:p w14:paraId="4AAB0E3A" w14:textId="77777777" w:rsidR="00092A09" w:rsidRPr="000A0C4D" w:rsidRDefault="007024BD">
            <w:pPr>
              <w:autoSpaceDE w:val="0"/>
              <w:autoSpaceDN w:val="0"/>
              <w:adjustRightInd w:val="0"/>
              <w:spacing w:after="0"/>
              <w:ind w:hanging="2"/>
              <w:jc w:val="center"/>
              <w:rPr>
                <w:rFonts w:ascii="Palatino Linotype" w:hAnsi="Palatino Linotype"/>
                <w:color w:val="000000"/>
                <w:sz w:val="20"/>
                <w:szCs w:val="20"/>
              </w:rPr>
            </w:pPr>
            <w:r w:rsidRPr="000A0C4D">
              <w:rPr>
                <w:rFonts w:ascii="Palatino Linotype" w:hAnsi="Palatino Linotype"/>
                <w:color w:val="000000"/>
                <w:sz w:val="20"/>
                <w:szCs w:val="20"/>
              </w:rPr>
              <w:t>.224</w:t>
            </w:r>
            <w:r w:rsidRPr="000A0C4D">
              <w:rPr>
                <w:rFonts w:ascii="Palatino Linotype" w:hAnsi="Palatino Linotype"/>
                <w:color w:val="000000"/>
                <w:sz w:val="20"/>
                <w:szCs w:val="20"/>
                <w:vertAlign w:val="superscript"/>
              </w:rPr>
              <w:t>a</w:t>
            </w:r>
          </w:p>
        </w:tc>
      </w:tr>
      <w:tr w:rsidR="003B03C8" w:rsidRPr="000A0C4D" w14:paraId="6F7208EA" w14:textId="77777777" w:rsidTr="00D56D5E">
        <w:trPr>
          <w:cantSplit/>
        </w:trPr>
        <w:tc>
          <w:tcPr>
            <w:tcW w:w="736" w:type="dxa"/>
            <w:vMerge/>
            <w:tcBorders>
              <w:top w:val="single" w:sz="4" w:space="0" w:color="auto"/>
              <w:left w:val="nil"/>
              <w:bottom w:val="single" w:sz="4" w:space="0" w:color="auto"/>
              <w:right w:val="nil"/>
            </w:tcBorders>
            <w:vAlign w:val="center"/>
            <w:hideMark/>
          </w:tcPr>
          <w:p w14:paraId="7E514844" w14:textId="77777777" w:rsidR="0058178B" w:rsidRPr="000A0C4D" w:rsidRDefault="0058178B" w:rsidP="0058178B">
            <w:pPr>
              <w:spacing w:after="0"/>
              <w:ind w:hanging="2"/>
              <w:rPr>
                <w:rFonts w:ascii="Palatino Linotype" w:hAnsi="Palatino Linotype"/>
                <w:color w:val="000000"/>
                <w:sz w:val="20"/>
                <w:szCs w:val="20"/>
                <w:lang w:eastAsia="id-ID"/>
              </w:rPr>
            </w:pPr>
          </w:p>
        </w:tc>
        <w:tc>
          <w:tcPr>
            <w:tcW w:w="1292" w:type="dxa"/>
            <w:gridSpan w:val="3"/>
            <w:tcBorders>
              <w:top w:val="single" w:sz="4" w:space="0" w:color="auto"/>
              <w:left w:val="nil"/>
              <w:bottom w:val="single" w:sz="4" w:space="0" w:color="auto"/>
              <w:right w:val="nil"/>
            </w:tcBorders>
            <w:shd w:val="clear" w:color="auto" w:fill="FFFFFF"/>
            <w:hideMark/>
          </w:tcPr>
          <w:p w14:paraId="0F4E5ED4" w14:textId="77777777" w:rsidR="00092A09" w:rsidRPr="000A0C4D" w:rsidRDefault="007024BD">
            <w:pPr>
              <w:autoSpaceDE w:val="0"/>
              <w:autoSpaceDN w:val="0"/>
              <w:adjustRightInd w:val="0"/>
              <w:spacing w:after="0"/>
              <w:ind w:right="60" w:hanging="2"/>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Residuals</w:t>
            </w:r>
          </w:p>
        </w:tc>
        <w:tc>
          <w:tcPr>
            <w:tcW w:w="1755" w:type="dxa"/>
            <w:gridSpan w:val="2"/>
            <w:tcBorders>
              <w:top w:val="single" w:sz="4" w:space="0" w:color="auto"/>
              <w:left w:val="nil"/>
              <w:bottom w:val="single" w:sz="4" w:space="0" w:color="auto"/>
              <w:right w:val="nil"/>
            </w:tcBorders>
            <w:shd w:val="clear" w:color="auto" w:fill="FFFFFF"/>
            <w:vAlign w:val="center"/>
            <w:hideMark/>
          </w:tcPr>
          <w:p w14:paraId="4C98A3E3" w14:textId="77777777" w:rsidR="00092A09" w:rsidRPr="000A0C4D" w:rsidRDefault="007024BD">
            <w:pPr>
              <w:autoSpaceDE w:val="0"/>
              <w:autoSpaceDN w:val="0"/>
              <w:adjustRightInd w:val="0"/>
              <w:spacing w:after="0"/>
              <w:ind w:hanging="2"/>
              <w:jc w:val="right"/>
              <w:rPr>
                <w:rFonts w:ascii="Palatino Linotype" w:hAnsi="Palatino Linotype"/>
                <w:color w:val="000000"/>
                <w:sz w:val="20"/>
                <w:szCs w:val="20"/>
              </w:rPr>
            </w:pPr>
            <w:r w:rsidRPr="000A0C4D">
              <w:rPr>
                <w:rFonts w:ascii="Palatino Linotype" w:hAnsi="Palatino Linotype"/>
                <w:color w:val="000000"/>
                <w:sz w:val="20"/>
                <w:szCs w:val="20"/>
              </w:rPr>
              <w:t>13080.776</w:t>
            </w:r>
          </w:p>
        </w:tc>
        <w:tc>
          <w:tcPr>
            <w:tcW w:w="708" w:type="dxa"/>
            <w:tcBorders>
              <w:top w:val="single" w:sz="4" w:space="0" w:color="auto"/>
              <w:left w:val="nil"/>
              <w:bottom w:val="single" w:sz="4" w:space="0" w:color="auto"/>
              <w:right w:val="nil"/>
            </w:tcBorders>
            <w:shd w:val="clear" w:color="auto" w:fill="FFFFFF"/>
            <w:vAlign w:val="center"/>
            <w:hideMark/>
          </w:tcPr>
          <w:p w14:paraId="16D41023" w14:textId="77777777" w:rsidR="00092A09" w:rsidRPr="000A0C4D" w:rsidRDefault="007024BD">
            <w:pPr>
              <w:autoSpaceDE w:val="0"/>
              <w:autoSpaceDN w:val="0"/>
              <w:adjustRightInd w:val="0"/>
              <w:spacing w:after="0"/>
              <w:ind w:hanging="2"/>
              <w:jc w:val="center"/>
              <w:rPr>
                <w:rFonts w:ascii="Palatino Linotype" w:hAnsi="Palatino Linotype"/>
                <w:color w:val="000000"/>
                <w:sz w:val="20"/>
                <w:szCs w:val="20"/>
              </w:rPr>
            </w:pPr>
            <w:r w:rsidRPr="000A0C4D">
              <w:rPr>
                <w:rFonts w:ascii="Palatino Linotype" w:hAnsi="Palatino Linotype"/>
                <w:color w:val="000000"/>
                <w:sz w:val="20"/>
                <w:szCs w:val="20"/>
              </w:rPr>
              <w:t>73</w:t>
            </w:r>
          </w:p>
        </w:tc>
        <w:tc>
          <w:tcPr>
            <w:tcW w:w="1701" w:type="dxa"/>
            <w:gridSpan w:val="2"/>
            <w:tcBorders>
              <w:top w:val="single" w:sz="4" w:space="0" w:color="auto"/>
              <w:left w:val="nil"/>
              <w:bottom w:val="single" w:sz="4" w:space="0" w:color="auto"/>
              <w:right w:val="nil"/>
            </w:tcBorders>
            <w:shd w:val="clear" w:color="auto" w:fill="FFFFFF"/>
            <w:vAlign w:val="center"/>
            <w:hideMark/>
          </w:tcPr>
          <w:p w14:paraId="607BCBEE" w14:textId="77777777" w:rsidR="00092A09" w:rsidRPr="000A0C4D" w:rsidRDefault="007024BD">
            <w:pPr>
              <w:autoSpaceDE w:val="0"/>
              <w:autoSpaceDN w:val="0"/>
              <w:adjustRightInd w:val="0"/>
              <w:spacing w:after="0"/>
              <w:ind w:hanging="2"/>
              <w:jc w:val="center"/>
              <w:rPr>
                <w:rFonts w:ascii="Palatino Linotype" w:hAnsi="Palatino Linotype"/>
                <w:color w:val="000000"/>
                <w:sz w:val="20"/>
                <w:szCs w:val="20"/>
              </w:rPr>
            </w:pPr>
            <w:r w:rsidRPr="000A0C4D">
              <w:rPr>
                <w:rFonts w:ascii="Palatino Linotype" w:hAnsi="Palatino Linotype"/>
                <w:color w:val="000000"/>
                <w:sz w:val="20"/>
                <w:szCs w:val="20"/>
              </w:rPr>
              <w:t>179.189</w:t>
            </w:r>
          </w:p>
        </w:tc>
        <w:tc>
          <w:tcPr>
            <w:tcW w:w="851" w:type="dxa"/>
            <w:tcBorders>
              <w:top w:val="single" w:sz="4" w:space="0" w:color="auto"/>
              <w:left w:val="nil"/>
              <w:bottom w:val="single" w:sz="4" w:space="0" w:color="auto"/>
              <w:right w:val="nil"/>
            </w:tcBorders>
            <w:shd w:val="clear" w:color="auto" w:fill="FFFFFF"/>
            <w:vAlign w:val="center"/>
          </w:tcPr>
          <w:p w14:paraId="084B52AA" w14:textId="77777777" w:rsidR="0058178B" w:rsidRPr="000A0C4D" w:rsidRDefault="0058178B" w:rsidP="0058178B">
            <w:pPr>
              <w:autoSpaceDE w:val="0"/>
              <w:autoSpaceDN w:val="0"/>
              <w:adjustRightInd w:val="0"/>
              <w:spacing w:after="0"/>
              <w:ind w:hanging="2"/>
              <w:rPr>
                <w:rFonts w:ascii="Palatino Linotype" w:hAnsi="Palatino Linotype"/>
                <w:sz w:val="20"/>
                <w:szCs w:val="20"/>
                <w:lang w:eastAsia="id-ID"/>
              </w:rPr>
            </w:pPr>
          </w:p>
        </w:tc>
        <w:tc>
          <w:tcPr>
            <w:tcW w:w="1984" w:type="dxa"/>
            <w:tcBorders>
              <w:top w:val="single" w:sz="4" w:space="0" w:color="auto"/>
              <w:left w:val="nil"/>
              <w:bottom w:val="single" w:sz="4" w:space="0" w:color="auto"/>
              <w:right w:val="nil"/>
            </w:tcBorders>
            <w:shd w:val="clear" w:color="auto" w:fill="FFFFFF"/>
            <w:vAlign w:val="center"/>
          </w:tcPr>
          <w:p w14:paraId="4CAEF822" w14:textId="77777777" w:rsidR="0058178B" w:rsidRPr="000A0C4D" w:rsidRDefault="0058178B" w:rsidP="0058178B">
            <w:pPr>
              <w:autoSpaceDE w:val="0"/>
              <w:autoSpaceDN w:val="0"/>
              <w:adjustRightInd w:val="0"/>
              <w:spacing w:after="0"/>
              <w:ind w:hanging="2"/>
              <w:rPr>
                <w:rFonts w:ascii="Palatino Linotype" w:hAnsi="Palatino Linotype"/>
                <w:sz w:val="20"/>
                <w:szCs w:val="20"/>
                <w:lang w:eastAsia="id-ID"/>
              </w:rPr>
            </w:pPr>
          </w:p>
        </w:tc>
      </w:tr>
      <w:tr w:rsidR="003B03C8" w:rsidRPr="000A0C4D" w14:paraId="70DBD69C" w14:textId="77777777" w:rsidTr="00D56D5E">
        <w:trPr>
          <w:cantSplit/>
        </w:trPr>
        <w:tc>
          <w:tcPr>
            <w:tcW w:w="736" w:type="dxa"/>
            <w:vMerge/>
            <w:tcBorders>
              <w:top w:val="single" w:sz="4" w:space="0" w:color="auto"/>
              <w:left w:val="nil"/>
              <w:bottom w:val="single" w:sz="4" w:space="0" w:color="auto"/>
              <w:right w:val="nil"/>
            </w:tcBorders>
            <w:vAlign w:val="center"/>
            <w:hideMark/>
          </w:tcPr>
          <w:p w14:paraId="04CCEDAD" w14:textId="77777777" w:rsidR="0058178B" w:rsidRPr="000A0C4D" w:rsidRDefault="0058178B" w:rsidP="0058178B">
            <w:pPr>
              <w:spacing w:after="0"/>
              <w:ind w:hanging="2"/>
              <w:rPr>
                <w:rFonts w:ascii="Palatino Linotype" w:hAnsi="Palatino Linotype"/>
                <w:color w:val="000000"/>
                <w:sz w:val="20"/>
                <w:szCs w:val="20"/>
                <w:lang w:eastAsia="id-ID"/>
              </w:rPr>
            </w:pPr>
          </w:p>
        </w:tc>
        <w:tc>
          <w:tcPr>
            <w:tcW w:w="1292" w:type="dxa"/>
            <w:gridSpan w:val="3"/>
            <w:tcBorders>
              <w:top w:val="single" w:sz="4" w:space="0" w:color="auto"/>
              <w:left w:val="nil"/>
              <w:bottom w:val="single" w:sz="4" w:space="0" w:color="auto"/>
              <w:right w:val="nil"/>
            </w:tcBorders>
            <w:shd w:val="clear" w:color="auto" w:fill="FFFFFF"/>
            <w:hideMark/>
          </w:tcPr>
          <w:p w14:paraId="44C6B248" w14:textId="77777777" w:rsidR="00092A09" w:rsidRPr="000A0C4D" w:rsidRDefault="007024BD">
            <w:pPr>
              <w:autoSpaceDE w:val="0"/>
              <w:autoSpaceDN w:val="0"/>
              <w:adjustRightInd w:val="0"/>
              <w:spacing w:after="0"/>
              <w:ind w:right="60" w:hanging="2"/>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Total</w:t>
            </w:r>
          </w:p>
        </w:tc>
        <w:tc>
          <w:tcPr>
            <w:tcW w:w="1755" w:type="dxa"/>
            <w:gridSpan w:val="2"/>
            <w:tcBorders>
              <w:top w:val="single" w:sz="4" w:space="0" w:color="auto"/>
              <w:left w:val="nil"/>
              <w:bottom w:val="single" w:sz="4" w:space="0" w:color="auto"/>
              <w:right w:val="nil"/>
            </w:tcBorders>
            <w:shd w:val="clear" w:color="auto" w:fill="FFFFFF"/>
            <w:vAlign w:val="center"/>
            <w:hideMark/>
          </w:tcPr>
          <w:p w14:paraId="15B242FC" w14:textId="77777777" w:rsidR="00092A09" w:rsidRPr="000A0C4D" w:rsidRDefault="007024BD">
            <w:pPr>
              <w:autoSpaceDE w:val="0"/>
              <w:autoSpaceDN w:val="0"/>
              <w:adjustRightInd w:val="0"/>
              <w:spacing w:after="0"/>
              <w:ind w:hanging="2"/>
              <w:jc w:val="right"/>
              <w:rPr>
                <w:rFonts w:ascii="Palatino Linotype" w:hAnsi="Palatino Linotype"/>
                <w:color w:val="000000"/>
                <w:sz w:val="20"/>
                <w:szCs w:val="20"/>
              </w:rPr>
            </w:pPr>
            <w:r w:rsidRPr="000A0C4D">
              <w:rPr>
                <w:rFonts w:ascii="Palatino Linotype" w:hAnsi="Palatino Linotype"/>
                <w:color w:val="000000"/>
                <w:sz w:val="20"/>
                <w:szCs w:val="20"/>
              </w:rPr>
              <w:t>13350.551</w:t>
            </w:r>
          </w:p>
        </w:tc>
        <w:tc>
          <w:tcPr>
            <w:tcW w:w="708" w:type="dxa"/>
            <w:tcBorders>
              <w:top w:val="single" w:sz="4" w:space="0" w:color="auto"/>
              <w:left w:val="nil"/>
              <w:bottom w:val="single" w:sz="4" w:space="0" w:color="auto"/>
              <w:right w:val="nil"/>
            </w:tcBorders>
            <w:shd w:val="clear" w:color="auto" w:fill="FFFFFF"/>
            <w:vAlign w:val="center"/>
            <w:hideMark/>
          </w:tcPr>
          <w:p w14:paraId="72C07451" w14:textId="77777777" w:rsidR="00092A09" w:rsidRPr="000A0C4D" w:rsidRDefault="007024BD">
            <w:pPr>
              <w:autoSpaceDE w:val="0"/>
              <w:autoSpaceDN w:val="0"/>
              <w:adjustRightInd w:val="0"/>
              <w:spacing w:after="0"/>
              <w:ind w:hanging="2"/>
              <w:jc w:val="center"/>
              <w:rPr>
                <w:rFonts w:ascii="Palatino Linotype" w:hAnsi="Palatino Linotype"/>
                <w:color w:val="000000"/>
                <w:sz w:val="20"/>
                <w:szCs w:val="20"/>
              </w:rPr>
            </w:pPr>
            <w:r w:rsidRPr="000A0C4D">
              <w:rPr>
                <w:rFonts w:ascii="Palatino Linotype" w:hAnsi="Palatino Linotype"/>
                <w:color w:val="000000"/>
                <w:sz w:val="20"/>
                <w:szCs w:val="20"/>
              </w:rPr>
              <w:t>74</w:t>
            </w:r>
          </w:p>
        </w:tc>
        <w:tc>
          <w:tcPr>
            <w:tcW w:w="1701" w:type="dxa"/>
            <w:gridSpan w:val="2"/>
            <w:tcBorders>
              <w:top w:val="single" w:sz="4" w:space="0" w:color="auto"/>
              <w:left w:val="nil"/>
              <w:bottom w:val="single" w:sz="4" w:space="0" w:color="auto"/>
              <w:right w:val="nil"/>
            </w:tcBorders>
            <w:shd w:val="clear" w:color="auto" w:fill="FFFFFF"/>
            <w:vAlign w:val="center"/>
          </w:tcPr>
          <w:p w14:paraId="5C3B3F29" w14:textId="77777777" w:rsidR="0058178B" w:rsidRPr="000A0C4D" w:rsidRDefault="0058178B" w:rsidP="0058178B">
            <w:pPr>
              <w:autoSpaceDE w:val="0"/>
              <w:autoSpaceDN w:val="0"/>
              <w:adjustRightInd w:val="0"/>
              <w:spacing w:after="0"/>
              <w:ind w:hanging="2"/>
              <w:rPr>
                <w:rFonts w:ascii="Palatino Linotype" w:hAnsi="Palatino Linotype"/>
                <w:sz w:val="20"/>
                <w:szCs w:val="20"/>
                <w:lang w:eastAsia="id-ID"/>
              </w:rPr>
            </w:pPr>
          </w:p>
        </w:tc>
        <w:tc>
          <w:tcPr>
            <w:tcW w:w="851" w:type="dxa"/>
            <w:tcBorders>
              <w:top w:val="single" w:sz="4" w:space="0" w:color="auto"/>
              <w:left w:val="nil"/>
              <w:bottom w:val="single" w:sz="4" w:space="0" w:color="auto"/>
              <w:right w:val="nil"/>
            </w:tcBorders>
            <w:shd w:val="clear" w:color="auto" w:fill="FFFFFF"/>
            <w:vAlign w:val="center"/>
          </w:tcPr>
          <w:p w14:paraId="67F2EBEC" w14:textId="77777777" w:rsidR="0058178B" w:rsidRPr="000A0C4D" w:rsidRDefault="0058178B" w:rsidP="0058178B">
            <w:pPr>
              <w:autoSpaceDE w:val="0"/>
              <w:autoSpaceDN w:val="0"/>
              <w:adjustRightInd w:val="0"/>
              <w:spacing w:after="0"/>
              <w:ind w:hanging="2"/>
              <w:rPr>
                <w:rFonts w:ascii="Palatino Linotype" w:hAnsi="Palatino Linotype"/>
                <w:sz w:val="20"/>
                <w:szCs w:val="20"/>
                <w:lang w:eastAsia="id-ID"/>
              </w:rPr>
            </w:pPr>
          </w:p>
        </w:tc>
        <w:tc>
          <w:tcPr>
            <w:tcW w:w="1984" w:type="dxa"/>
            <w:tcBorders>
              <w:top w:val="single" w:sz="4" w:space="0" w:color="auto"/>
              <w:left w:val="nil"/>
              <w:bottom w:val="single" w:sz="4" w:space="0" w:color="auto"/>
              <w:right w:val="nil"/>
            </w:tcBorders>
            <w:shd w:val="clear" w:color="auto" w:fill="FFFFFF"/>
            <w:vAlign w:val="center"/>
          </w:tcPr>
          <w:p w14:paraId="6D51A961" w14:textId="77777777" w:rsidR="0058178B" w:rsidRPr="000A0C4D" w:rsidRDefault="0058178B" w:rsidP="0058178B">
            <w:pPr>
              <w:autoSpaceDE w:val="0"/>
              <w:autoSpaceDN w:val="0"/>
              <w:adjustRightInd w:val="0"/>
              <w:spacing w:after="0"/>
              <w:ind w:hanging="2"/>
              <w:rPr>
                <w:rFonts w:ascii="Palatino Linotype" w:hAnsi="Palatino Linotype"/>
                <w:sz w:val="20"/>
                <w:szCs w:val="20"/>
                <w:lang w:eastAsia="id-ID"/>
              </w:rPr>
            </w:pPr>
          </w:p>
        </w:tc>
      </w:tr>
      <w:tr w:rsidR="003B03C8" w:rsidRPr="000A0C4D" w14:paraId="0561D518" w14:textId="77777777" w:rsidTr="00D56D5E">
        <w:trPr>
          <w:cantSplit/>
          <w:trHeight w:val="575"/>
        </w:trPr>
        <w:tc>
          <w:tcPr>
            <w:tcW w:w="9027" w:type="dxa"/>
            <w:gridSpan w:val="11"/>
            <w:tcBorders>
              <w:top w:val="single" w:sz="4" w:space="0" w:color="auto"/>
              <w:left w:val="nil"/>
              <w:bottom w:val="nil"/>
              <w:right w:val="nil"/>
            </w:tcBorders>
            <w:shd w:val="clear" w:color="auto" w:fill="FFFFFF"/>
            <w:hideMark/>
          </w:tcPr>
          <w:p w14:paraId="3CC51FEC" w14:textId="77777777" w:rsidR="00092A09" w:rsidRPr="000A0C4D" w:rsidRDefault="007024BD">
            <w:pPr>
              <w:pStyle w:val="ListParagraph"/>
              <w:numPr>
                <w:ilvl w:val="0"/>
                <w:numId w:val="19"/>
              </w:numPr>
              <w:autoSpaceDE w:val="0"/>
              <w:autoSpaceDN w:val="0"/>
              <w:adjustRightInd w:val="0"/>
              <w:spacing w:after="0" w:line="240" w:lineRule="auto"/>
              <w:ind w:left="0" w:hanging="2"/>
              <w:rPr>
                <w:rFonts w:ascii="Palatino Linotype" w:hAnsi="Palatino Linotype"/>
                <w:sz w:val="20"/>
                <w:szCs w:val="20"/>
                <w:lang w:eastAsia="id-ID"/>
              </w:rPr>
            </w:pPr>
            <w:r w:rsidRPr="000A0C4D">
              <w:rPr>
                <w:rFonts w:ascii="Palatino Linotype" w:hAnsi="Palatino Linotype"/>
                <w:color w:val="000000"/>
                <w:sz w:val="20"/>
                <w:szCs w:val="20"/>
                <w:lang w:eastAsia="id-ID"/>
              </w:rPr>
              <w:t>Dependent Variable: MB</w:t>
            </w:r>
          </w:p>
          <w:p w14:paraId="7166874F" w14:textId="77777777" w:rsidR="00092A09" w:rsidRPr="000A0C4D" w:rsidRDefault="007024BD">
            <w:pPr>
              <w:pStyle w:val="ListParagraph"/>
              <w:numPr>
                <w:ilvl w:val="0"/>
                <w:numId w:val="19"/>
              </w:numPr>
              <w:autoSpaceDE w:val="0"/>
              <w:autoSpaceDN w:val="0"/>
              <w:adjustRightInd w:val="0"/>
              <w:spacing w:after="0" w:line="240" w:lineRule="auto"/>
              <w:ind w:left="0" w:hanging="2"/>
              <w:rPr>
                <w:rFonts w:ascii="Palatino Linotype" w:hAnsi="Palatino Linotype"/>
                <w:sz w:val="20"/>
                <w:szCs w:val="20"/>
                <w:lang w:eastAsia="id-ID"/>
              </w:rPr>
            </w:pPr>
            <w:r w:rsidRPr="000A0C4D">
              <w:rPr>
                <w:rFonts w:ascii="Palatino Linotype" w:hAnsi="Palatino Linotype"/>
                <w:color w:val="000000"/>
                <w:sz w:val="20"/>
                <w:szCs w:val="20"/>
                <w:lang w:eastAsia="id-ID"/>
              </w:rPr>
              <w:t xml:space="preserve">Predictors: </w:t>
            </w:r>
            <w:r w:rsidRPr="000A0C4D">
              <w:rPr>
                <w:rFonts w:ascii="Palatino Linotype" w:hAnsi="Palatino Linotype"/>
                <w:color w:val="000000"/>
                <w:sz w:val="20"/>
                <w:szCs w:val="20"/>
                <w:lang w:eastAsia="id-ID"/>
              </w:rPr>
              <w:t>(Constant), Per_Sis</w:t>
            </w:r>
          </w:p>
        </w:tc>
      </w:tr>
      <w:tr w:rsidR="003B03C8" w:rsidRPr="000A0C4D" w14:paraId="5211D130" w14:textId="77777777" w:rsidTr="00D56D5E">
        <w:trPr>
          <w:cantSplit/>
        </w:trPr>
        <w:tc>
          <w:tcPr>
            <w:tcW w:w="9027" w:type="dxa"/>
            <w:gridSpan w:val="11"/>
            <w:shd w:val="clear" w:color="auto" w:fill="FFFFFF"/>
          </w:tcPr>
          <w:p w14:paraId="1538A2B5" w14:textId="77777777" w:rsidR="0058178B" w:rsidRPr="000A0C4D" w:rsidRDefault="0058178B" w:rsidP="0058178B">
            <w:pPr>
              <w:autoSpaceDE w:val="0"/>
              <w:autoSpaceDN w:val="0"/>
              <w:adjustRightInd w:val="0"/>
              <w:spacing w:after="0"/>
              <w:ind w:right="62"/>
              <w:rPr>
                <w:rFonts w:ascii="Palatino Linotype" w:hAnsi="Palatino Linotype"/>
                <w:color w:val="000000"/>
                <w:sz w:val="20"/>
                <w:szCs w:val="20"/>
                <w:lang w:eastAsia="id-ID"/>
              </w:rPr>
            </w:pPr>
          </w:p>
          <w:p w14:paraId="38C6BAF1" w14:textId="77777777" w:rsidR="00092A09" w:rsidRPr="000A0C4D" w:rsidRDefault="007024BD">
            <w:pPr>
              <w:autoSpaceDE w:val="0"/>
              <w:autoSpaceDN w:val="0"/>
              <w:adjustRightInd w:val="0"/>
              <w:spacing w:after="0"/>
              <w:ind w:right="62"/>
              <w:rPr>
                <w:rFonts w:ascii="Palatino Linotype" w:hAnsi="Palatino Linotype"/>
                <w:color w:val="000000"/>
                <w:sz w:val="20"/>
                <w:szCs w:val="20"/>
                <w:lang w:val="id-ID" w:eastAsia="id-ID"/>
              </w:rPr>
            </w:pPr>
            <w:r w:rsidRPr="000A0C4D">
              <w:rPr>
                <w:rFonts w:ascii="Palatino Linotype" w:hAnsi="Palatino Linotype"/>
                <w:color w:val="000000"/>
                <w:sz w:val="20"/>
                <w:szCs w:val="20"/>
                <w:lang w:val="id-ID" w:eastAsia="id-ID"/>
              </w:rPr>
              <w:t xml:space="preserve">The contribution of </w:t>
            </w:r>
            <w:r w:rsidRPr="000A0C4D">
              <w:rPr>
                <w:rFonts w:ascii="Palatino Linotype" w:hAnsi="Palatino Linotype"/>
                <w:sz w:val="20"/>
                <w:szCs w:val="20"/>
              </w:rPr>
              <w:t xml:space="preserve">student perception and learning motivation is </w:t>
            </w:r>
            <w:r w:rsidRPr="000A0C4D">
              <w:rPr>
                <w:rFonts w:ascii="Palatino Linotype" w:hAnsi="Palatino Linotype"/>
                <w:color w:val="000000"/>
                <w:sz w:val="20"/>
                <w:szCs w:val="20"/>
                <w:lang w:val="id-ID" w:eastAsia="id-ID"/>
              </w:rPr>
              <w:t xml:space="preserve">shown in Table </w:t>
            </w:r>
            <w:r w:rsidRPr="000A0C4D">
              <w:rPr>
                <w:rFonts w:ascii="Palatino Linotype" w:hAnsi="Palatino Linotype"/>
                <w:color w:val="000000"/>
                <w:sz w:val="20"/>
                <w:szCs w:val="20"/>
                <w:lang w:eastAsia="id-ID"/>
              </w:rPr>
              <w:t>3</w:t>
            </w:r>
            <w:r w:rsidRPr="000A0C4D">
              <w:rPr>
                <w:rFonts w:ascii="Palatino Linotype" w:hAnsi="Palatino Linotype"/>
                <w:color w:val="000000"/>
                <w:sz w:val="20"/>
                <w:szCs w:val="20"/>
                <w:lang w:val="id-ID" w:eastAsia="id-ID"/>
              </w:rPr>
              <w:t>.</w:t>
            </w:r>
          </w:p>
          <w:p w14:paraId="3AFE8A70" w14:textId="77777777" w:rsidR="00092A09" w:rsidRPr="000A0C4D" w:rsidRDefault="007024BD">
            <w:pPr>
              <w:autoSpaceDE w:val="0"/>
              <w:autoSpaceDN w:val="0"/>
              <w:adjustRightInd w:val="0"/>
              <w:spacing w:after="0"/>
              <w:ind w:right="60" w:hanging="2"/>
              <w:rPr>
                <w:rFonts w:ascii="Palatino Linotype" w:hAnsi="Palatino Linotype"/>
                <w:b/>
                <w:color w:val="000000"/>
                <w:sz w:val="20"/>
                <w:szCs w:val="20"/>
                <w:lang w:val="id-ID" w:eastAsia="id-ID"/>
              </w:rPr>
            </w:pPr>
            <w:r w:rsidRPr="000A0C4D">
              <w:rPr>
                <w:rFonts w:ascii="Palatino Linotype" w:hAnsi="Palatino Linotype"/>
                <w:b/>
                <w:color w:val="000000"/>
                <w:sz w:val="20"/>
                <w:szCs w:val="20"/>
                <w:lang w:val="id-ID" w:eastAsia="id-ID"/>
              </w:rPr>
              <w:t xml:space="preserve">Table </w:t>
            </w:r>
            <w:r w:rsidRPr="000A0C4D">
              <w:rPr>
                <w:rFonts w:ascii="Palatino Linotype" w:hAnsi="Palatino Linotype"/>
                <w:b/>
                <w:color w:val="000000"/>
                <w:sz w:val="20"/>
                <w:szCs w:val="20"/>
                <w:lang w:eastAsia="id-ID"/>
              </w:rPr>
              <w:t>3</w:t>
            </w:r>
            <w:r w:rsidRPr="000A0C4D">
              <w:rPr>
                <w:rFonts w:ascii="Palatino Linotype" w:hAnsi="Palatino Linotype"/>
                <w:b/>
                <w:color w:val="000000"/>
                <w:sz w:val="20"/>
                <w:szCs w:val="20"/>
                <w:lang w:val="id-ID" w:eastAsia="id-ID"/>
              </w:rPr>
              <w:t xml:space="preserve">. </w:t>
            </w:r>
            <w:r w:rsidRPr="000A0C4D">
              <w:rPr>
                <w:rFonts w:ascii="Palatino Linotype" w:hAnsi="Palatino Linotype"/>
                <w:color w:val="000000"/>
                <w:sz w:val="20"/>
                <w:szCs w:val="20"/>
                <w:lang w:val="id-ID" w:eastAsia="id-ID"/>
              </w:rPr>
              <w:t xml:space="preserve">Summary of Linear Regression Between </w:t>
            </w:r>
            <w:r w:rsidRPr="000A0C4D">
              <w:rPr>
                <w:rFonts w:ascii="Palatino Linotype" w:hAnsi="Palatino Linotype"/>
                <w:sz w:val="20"/>
                <w:szCs w:val="20"/>
              </w:rPr>
              <w:t>Student Perception and Learning Motivation</w:t>
            </w:r>
          </w:p>
        </w:tc>
      </w:tr>
      <w:tr w:rsidR="003B03C8" w:rsidRPr="000A0C4D" w14:paraId="74146D64" w14:textId="77777777" w:rsidTr="00D56D5E">
        <w:trPr>
          <w:cantSplit/>
        </w:trPr>
        <w:tc>
          <w:tcPr>
            <w:tcW w:w="9027" w:type="dxa"/>
            <w:gridSpan w:val="11"/>
            <w:tcBorders>
              <w:top w:val="single" w:sz="4" w:space="0" w:color="auto"/>
              <w:left w:val="nil"/>
              <w:bottom w:val="single" w:sz="4" w:space="0" w:color="auto"/>
              <w:right w:val="nil"/>
            </w:tcBorders>
            <w:shd w:val="clear" w:color="auto" w:fill="FFFFFF"/>
            <w:vAlign w:val="center"/>
            <w:hideMark/>
          </w:tcPr>
          <w:p w14:paraId="10930ADD"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b/>
                <w:bCs/>
                <w:color w:val="000000"/>
                <w:sz w:val="20"/>
                <w:szCs w:val="20"/>
                <w:lang w:eastAsia="id-ID"/>
              </w:rPr>
              <w:t>Model Summary</w:t>
            </w:r>
          </w:p>
        </w:tc>
      </w:tr>
      <w:tr w:rsidR="003B03C8" w:rsidRPr="000A0C4D" w14:paraId="50ECD0AE" w14:textId="77777777" w:rsidTr="00D56D5E">
        <w:trPr>
          <w:cantSplit/>
        </w:trPr>
        <w:tc>
          <w:tcPr>
            <w:tcW w:w="798" w:type="dxa"/>
            <w:gridSpan w:val="2"/>
            <w:tcBorders>
              <w:top w:val="single" w:sz="4" w:space="0" w:color="auto"/>
              <w:left w:val="nil"/>
              <w:bottom w:val="single" w:sz="4" w:space="0" w:color="auto"/>
              <w:right w:val="nil"/>
            </w:tcBorders>
            <w:shd w:val="clear" w:color="auto" w:fill="FFFFFF"/>
            <w:vAlign w:val="bottom"/>
            <w:hideMark/>
          </w:tcPr>
          <w:p w14:paraId="4EB57C81" w14:textId="77777777" w:rsidR="00092A09" w:rsidRPr="000A0C4D" w:rsidRDefault="007024BD">
            <w:pPr>
              <w:autoSpaceDE w:val="0"/>
              <w:autoSpaceDN w:val="0"/>
              <w:adjustRightInd w:val="0"/>
              <w:spacing w:after="0"/>
              <w:ind w:right="60" w:hanging="2"/>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Model</w:t>
            </w:r>
          </w:p>
        </w:tc>
        <w:tc>
          <w:tcPr>
            <w:tcW w:w="868" w:type="dxa"/>
            <w:tcBorders>
              <w:top w:val="single" w:sz="4" w:space="0" w:color="auto"/>
              <w:left w:val="nil"/>
              <w:bottom w:val="single" w:sz="4" w:space="0" w:color="auto"/>
              <w:right w:val="nil"/>
            </w:tcBorders>
            <w:shd w:val="clear" w:color="auto" w:fill="FFFFFF"/>
            <w:vAlign w:val="bottom"/>
            <w:hideMark/>
          </w:tcPr>
          <w:p w14:paraId="23763F5A"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R</w:t>
            </w:r>
          </w:p>
        </w:tc>
        <w:tc>
          <w:tcPr>
            <w:tcW w:w="1413" w:type="dxa"/>
            <w:gridSpan w:val="2"/>
            <w:tcBorders>
              <w:top w:val="single" w:sz="4" w:space="0" w:color="auto"/>
              <w:left w:val="nil"/>
              <w:bottom w:val="single" w:sz="4" w:space="0" w:color="auto"/>
              <w:right w:val="nil"/>
            </w:tcBorders>
            <w:shd w:val="clear" w:color="auto" w:fill="FFFFFF"/>
            <w:vAlign w:val="bottom"/>
            <w:hideMark/>
          </w:tcPr>
          <w:p w14:paraId="0A69150C"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R Square</w:t>
            </w:r>
          </w:p>
        </w:tc>
        <w:tc>
          <w:tcPr>
            <w:tcW w:w="3086" w:type="dxa"/>
            <w:gridSpan w:val="3"/>
            <w:tcBorders>
              <w:top w:val="single" w:sz="4" w:space="0" w:color="auto"/>
              <w:left w:val="nil"/>
              <w:bottom w:val="single" w:sz="4" w:space="0" w:color="auto"/>
              <w:right w:val="nil"/>
            </w:tcBorders>
            <w:shd w:val="clear" w:color="auto" w:fill="FFFFFF"/>
            <w:vAlign w:val="bottom"/>
            <w:hideMark/>
          </w:tcPr>
          <w:p w14:paraId="7C592D6B"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Adjusted R Square</w:t>
            </w:r>
          </w:p>
        </w:tc>
        <w:tc>
          <w:tcPr>
            <w:tcW w:w="2862" w:type="dxa"/>
            <w:gridSpan w:val="3"/>
            <w:tcBorders>
              <w:top w:val="single" w:sz="4" w:space="0" w:color="auto"/>
              <w:left w:val="nil"/>
              <w:bottom w:val="single" w:sz="4" w:space="0" w:color="auto"/>
              <w:right w:val="nil"/>
            </w:tcBorders>
            <w:shd w:val="clear" w:color="auto" w:fill="FFFFFF"/>
            <w:vAlign w:val="bottom"/>
            <w:hideMark/>
          </w:tcPr>
          <w:p w14:paraId="04306DB1"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Std. Error</w:t>
            </w:r>
            <w:r w:rsidRPr="000A0C4D">
              <w:rPr>
                <w:rFonts w:ascii="Palatino Linotype" w:hAnsi="Palatino Linotype"/>
                <w:color w:val="000000"/>
                <w:sz w:val="20"/>
                <w:szCs w:val="20"/>
                <w:lang w:eastAsia="id-ID"/>
              </w:rPr>
              <w:t xml:space="preserve"> of the Estimate</w:t>
            </w:r>
          </w:p>
        </w:tc>
      </w:tr>
      <w:tr w:rsidR="003B03C8" w:rsidRPr="000A0C4D" w14:paraId="1D53495B" w14:textId="77777777" w:rsidTr="00D56D5E">
        <w:trPr>
          <w:cantSplit/>
        </w:trPr>
        <w:tc>
          <w:tcPr>
            <w:tcW w:w="798" w:type="dxa"/>
            <w:gridSpan w:val="2"/>
            <w:tcBorders>
              <w:top w:val="single" w:sz="4" w:space="0" w:color="auto"/>
              <w:left w:val="nil"/>
              <w:bottom w:val="single" w:sz="4" w:space="0" w:color="auto"/>
              <w:right w:val="nil"/>
            </w:tcBorders>
            <w:shd w:val="clear" w:color="auto" w:fill="FFFFFF"/>
            <w:hideMark/>
          </w:tcPr>
          <w:p w14:paraId="280E7196" w14:textId="77777777" w:rsidR="00092A09" w:rsidRPr="000A0C4D" w:rsidRDefault="007024BD">
            <w:pPr>
              <w:autoSpaceDE w:val="0"/>
              <w:autoSpaceDN w:val="0"/>
              <w:adjustRightInd w:val="0"/>
              <w:spacing w:after="0"/>
              <w:ind w:right="60" w:hanging="2"/>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1</w:t>
            </w:r>
          </w:p>
        </w:tc>
        <w:tc>
          <w:tcPr>
            <w:tcW w:w="868" w:type="dxa"/>
            <w:tcBorders>
              <w:top w:val="single" w:sz="4" w:space="0" w:color="auto"/>
              <w:left w:val="nil"/>
              <w:bottom w:val="single" w:sz="4" w:space="0" w:color="auto"/>
              <w:right w:val="nil"/>
            </w:tcBorders>
            <w:shd w:val="clear" w:color="auto" w:fill="FFFFFF"/>
            <w:vAlign w:val="center"/>
            <w:hideMark/>
          </w:tcPr>
          <w:p w14:paraId="4D28612E" w14:textId="77777777" w:rsidR="00092A09" w:rsidRPr="000A0C4D" w:rsidRDefault="007024BD">
            <w:pPr>
              <w:autoSpaceDE w:val="0"/>
              <w:autoSpaceDN w:val="0"/>
              <w:adjustRightInd w:val="0"/>
              <w:spacing w:after="0"/>
              <w:ind w:right="60" w:hanging="2"/>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.142</w:t>
            </w:r>
            <w:r w:rsidRPr="000A0C4D">
              <w:rPr>
                <w:rFonts w:ascii="Palatino Linotype" w:hAnsi="Palatino Linotype"/>
                <w:color w:val="000000"/>
                <w:sz w:val="20"/>
                <w:szCs w:val="20"/>
                <w:vertAlign w:val="superscript"/>
                <w:lang w:eastAsia="id-ID"/>
              </w:rPr>
              <w:t>a</w:t>
            </w:r>
          </w:p>
        </w:tc>
        <w:tc>
          <w:tcPr>
            <w:tcW w:w="1413" w:type="dxa"/>
            <w:gridSpan w:val="2"/>
            <w:tcBorders>
              <w:top w:val="single" w:sz="4" w:space="0" w:color="auto"/>
              <w:left w:val="nil"/>
              <w:bottom w:val="single" w:sz="4" w:space="0" w:color="auto"/>
              <w:right w:val="nil"/>
            </w:tcBorders>
            <w:shd w:val="clear" w:color="auto" w:fill="FFFFFF"/>
            <w:vAlign w:val="center"/>
            <w:hideMark/>
          </w:tcPr>
          <w:p w14:paraId="21250BD0"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.020</w:t>
            </w:r>
          </w:p>
        </w:tc>
        <w:tc>
          <w:tcPr>
            <w:tcW w:w="3086" w:type="dxa"/>
            <w:gridSpan w:val="3"/>
            <w:tcBorders>
              <w:top w:val="single" w:sz="4" w:space="0" w:color="auto"/>
              <w:left w:val="nil"/>
              <w:bottom w:val="single" w:sz="4" w:space="0" w:color="auto"/>
              <w:right w:val="nil"/>
            </w:tcBorders>
            <w:shd w:val="clear" w:color="auto" w:fill="FFFFFF"/>
            <w:vAlign w:val="center"/>
            <w:hideMark/>
          </w:tcPr>
          <w:p w14:paraId="2542E5D5"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.007</w:t>
            </w:r>
          </w:p>
        </w:tc>
        <w:tc>
          <w:tcPr>
            <w:tcW w:w="2862" w:type="dxa"/>
            <w:gridSpan w:val="3"/>
            <w:tcBorders>
              <w:top w:val="single" w:sz="4" w:space="0" w:color="auto"/>
              <w:left w:val="nil"/>
              <w:bottom w:val="single" w:sz="4" w:space="0" w:color="auto"/>
              <w:right w:val="nil"/>
            </w:tcBorders>
            <w:shd w:val="clear" w:color="auto" w:fill="FFFFFF"/>
            <w:vAlign w:val="center"/>
            <w:hideMark/>
          </w:tcPr>
          <w:p w14:paraId="1277E9DC"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rPr>
              <w:t>13.38614</w:t>
            </w:r>
          </w:p>
        </w:tc>
      </w:tr>
      <w:tr w:rsidR="003B03C8" w:rsidRPr="000A0C4D" w14:paraId="5AD9193C" w14:textId="77777777" w:rsidTr="00D56D5E">
        <w:trPr>
          <w:cantSplit/>
        </w:trPr>
        <w:tc>
          <w:tcPr>
            <w:tcW w:w="9027" w:type="dxa"/>
            <w:gridSpan w:val="11"/>
            <w:tcBorders>
              <w:top w:val="single" w:sz="4" w:space="0" w:color="auto"/>
              <w:left w:val="nil"/>
              <w:bottom w:val="nil"/>
              <w:right w:val="nil"/>
            </w:tcBorders>
            <w:shd w:val="clear" w:color="auto" w:fill="FFFFFF"/>
            <w:hideMark/>
          </w:tcPr>
          <w:p w14:paraId="1F31F6E3" w14:textId="77777777" w:rsidR="00092A09" w:rsidRPr="000A0C4D" w:rsidRDefault="007024BD">
            <w:pPr>
              <w:autoSpaceDE w:val="0"/>
              <w:autoSpaceDN w:val="0"/>
              <w:adjustRightInd w:val="0"/>
              <w:spacing w:after="0"/>
              <w:ind w:right="60" w:hanging="2"/>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 xml:space="preserve">a. Predictors: (Constant), </w:t>
            </w:r>
            <w:proofErr w:type="spellStart"/>
            <w:r w:rsidRPr="000A0C4D">
              <w:rPr>
                <w:rFonts w:ascii="Palatino Linotype" w:hAnsi="Palatino Linotype"/>
                <w:color w:val="000000"/>
                <w:sz w:val="20"/>
                <w:szCs w:val="20"/>
                <w:lang w:eastAsia="id-ID"/>
              </w:rPr>
              <w:t>PreSis</w:t>
            </w:r>
            <w:proofErr w:type="spellEnd"/>
          </w:p>
        </w:tc>
      </w:tr>
    </w:tbl>
    <w:p w14:paraId="55AA0A88" w14:textId="77777777" w:rsidR="0058178B" w:rsidRPr="000A0C4D" w:rsidRDefault="0058178B" w:rsidP="0058178B">
      <w:pPr>
        <w:spacing w:after="0"/>
        <w:ind w:left="-2" w:firstLineChars="283" w:firstLine="566"/>
        <w:jc w:val="both"/>
        <w:rPr>
          <w:rFonts w:ascii="Palatino Linotype" w:hAnsi="Palatino Linotype"/>
          <w:sz w:val="20"/>
          <w:szCs w:val="20"/>
        </w:rPr>
      </w:pPr>
    </w:p>
    <w:p w14:paraId="7762E748" w14:textId="77777777" w:rsidR="00092A09" w:rsidRPr="000A0C4D" w:rsidRDefault="007024BD">
      <w:pPr>
        <w:spacing w:after="0"/>
        <w:ind w:left="-2" w:firstLineChars="283" w:firstLine="566"/>
        <w:jc w:val="both"/>
        <w:rPr>
          <w:rFonts w:ascii="Palatino Linotype" w:hAnsi="Palatino Linotype"/>
          <w:sz w:val="20"/>
          <w:szCs w:val="20"/>
        </w:rPr>
      </w:pPr>
      <w:r w:rsidRPr="000A0C4D">
        <w:rPr>
          <w:rFonts w:ascii="Palatino Linotype" w:hAnsi="Palatino Linotype"/>
          <w:sz w:val="20"/>
          <w:szCs w:val="20"/>
        </w:rPr>
        <w:t xml:space="preserve">The R-value in the correlation between student perceptions and learning motivation is 0.142, and the </w:t>
      </w:r>
      <w:r w:rsidR="00AC2C3A" w:rsidRPr="000A0C4D">
        <w:rPr>
          <w:rFonts w:ascii="Palatino Linotype" w:hAnsi="Palatino Linotype"/>
          <w:sz w:val="20"/>
          <w:szCs w:val="20"/>
        </w:rPr>
        <w:t xml:space="preserve">value of </w:t>
      </w:r>
      <w:r w:rsidRPr="000A0C4D">
        <w:rPr>
          <w:rFonts w:ascii="Palatino Linotype" w:hAnsi="Palatino Linotype"/>
          <w:sz w:val="20"/>
          <w:szCs w:val="20"/>
        </w:rPr>
        <w:t>R</w:t>
      </w:r>
      <w:r w:rsidRPr="000A0C4D">
        <w:rPr>
          <w:rFonts w:ascii="Palatino Linotype" w:hAnsi="Palatino Linotype"/>
          <w:sz w:val="20"/>
          <w:szCs w:val="20"/>
          <w:vertAlign w:val="superscript"/>
        </w:rPr>
        <w:t>2</w:t>
      </w:r>
      <w:r w:rsidRPr="000A0C4D">
        <w:rPr>
          <w:rFonts w:ascii="Palatino Linotype" w:hAnsi="Palatino Linotype"/>
          <w:sz w:val="20"/>
          <w:szCs w:val="20"/>
        </w:rPr>
        <w:t xml:space="preserve"> is 0.020 or 2%. Thus, the perception aspect contributes 2% to the achievement of student motivation, and other factors contribute 98%.   Table 3 shows the regression equation resulting from the relationship between emotional intelligence and learning outc</w:t>
      </w:r>
      <w:r w:rsidRPr="000A0C4D">
        <w:rPr>
          <w:rFonts w:ascii="Palatino Linotype" w:hAnsi="Palatino Linotype"/>
          <w:sz w:val="20"/>
          <w:szCs w:val="20"/>
        </w:rPr>
        <w:t>omes. The value of a = 48.543 and b = 0.224, so the regression equation Y = 48.543 + 0.224 X.</w:t>
      </w:r>
    </w:p>
    <w:p w14:paraId="284FBA3B" w14:textId="77777777" w:rsidR="0058178B" w:rsidRPr="000A0C4D" w:rsidRDefault="0058178B" w:rsidP="0058178B">
      <w:pPr>
        <w:tabs>
          <w:tab w:val="left" w:pos="1422"/>
        </w:tabs>
        <w:spacing w:after="0"/>
        <w:ind w:hanging="2"/>
        <w:rPr>
          <w:rFonts w:ascii="Palatino Linotype" w:hAnsi="Palatino Linotype"/>
          <w:b/>
          <w:sz w:val="20"/>
          <w:szCs w:val="20"/>
        </w:rPr>
      </w:pPr>
    </w:p>
    <w:p w14:paraId="15A833B1" w14:textId="77777777" w:rsidR="00092A09" w:rsidRPr="000A0C4D" w:rsidRDefault="007024BD">
      <w:pPr>
        <w:tabs>
          <w:tab w:val="left" w:pos="1422"/>
        </w:tabs>
        <w:spacing w:after="0"/>
        <w:rPr>
          <w:rFonts w:ascii="Palatino Linotype" w:hAnsi="Palatino Linotype"/>
          <w:b/>
          <w:sz w:val="20"/>
          <w:szCs w:val="20"/>
        </w:rPr>
      </w:pPr>
      <w:proofErr w:type="gramStart"/>
      <w:r w:rsidRPr="000A0C4D">
        <w:rPr>
          <w:rFonts w:ascii="Palatino Linotype" w:hAnsi="Palatino Linotype"/>
          <w:b/>
          <w:sz w:val="20"/>
          <w:szCs w:val="20"/>
        </w:rPr>
        <w:t>Table 4.</w:t>
      </w:r>
      <w:proofErr w:type="gramEnd"/>
      <w:r w:rsidRPr="000A0C4D">
        <w:rPr>
          <w:rFonts w:ascii="Palatino Linotype" w:hAnsi="Palatino Linotype"/>
          <w:b/>
          <w:sz w:val="20"/>
          <w:szCs w:val="20"/>
        </w:rPr>
        <w:t xml:space="preserve"> </w:t>
      </w:r>
      <w:r w:rsidRPr="000A0C4D">
        <w:rPr>
          <w:rFonts w:ascii="Palatino Linotype" w:hAnsi="Palatino Linotype"/>
          <w:sz w:val="20"/>
          <w:szCs w:val="20"/>
        </w:rPr>
        <w:t xml:space="preserve">Regression Coefficient </w:t>
      </w:r>
      <w:proofErr w:type="gramStart"/>
      <w:r w:rsidRPr="000A0C4D">
        <w:rPr>
          <w:rFonts w:ascii="Palatino Linotype" w:hAnsi="Palatino Linotype"/>
          <w:sz w:val="20"/>
          <w:szCs w:val="20"/>
        </w:rPr>
        <w:t>Between</w:t>
      </w:r>
      <w:proofErr w:type="gramEnd"/>
      <w:r w:rsidRPr="000A0C4D">
        <w:rPr>
          <w:rFonts w:ascii="Palatino Linotype" w:hAnsi="Palatino Linotype"/>
          <w:sz w:val="20"/>
          <w:szCs w:val="20"/>
        </w:rPr>
        <w:t xml:space="preserve"> Student Perception and Learning Motivation</w:t>
      </w:r>
    </w:p>
    <w:tbl>
      <w:tblPr>
        <w:tblW w:w="90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5"/>
        <w:gridCol w:w="1276"/>
        <w:gridCol w:w="1135"/>
        <w:gridCol w:w="1561"/>
        <w:gridCol w:w="2410"/>
        <w:gridCol w:w="1126"/>
        <w:gridCol w:w="1134"/>
      </w:tblGrid>
      <w:tr w:rsidR="003B03C8" w:rsidRPr="000A0C4D" w14:paraId="06A00395" w14:textId="77777777" w:rsidTr="00D56D5E">
        <w:trPr>
          <w:cantSplit/>
        </w:trPr>
        <w:tc>
          <w:tcPr>
            <w:tcW w:w="9077" w:type="dxa"/>
            <w:gridSpan w:val="7"/>
            <w:tcBorders>
              <w:left w:val="nil"/>
              <w:right w:val="nil"/>
            </w:tcBorders>
            <w:shd w:val="clear" w:color="auto" w:fill="FFFFFF"/>
            <w:vAlign w:val="center"/>
            <w:hideMark/>
          </w:tcPr>
          <w:p w14:paraId="70D3C100"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b/>
                <w:bCs/>
                <w:color w:val="000000"/>
                <w:sz w:val="20"/>
                <w:szCs w:val="20"/>
                <w:lang w:eastAsia="id-ID"/>
              </w:rPr>
              <w:t>Coefficients</w:t>
            </w:r>
          </w:p>
        </w:tc>
      </w:tr>
      <w:tr w:rsidR="003B03C8" w:rsidRPr="000A0C4D" w14:paraId="5FE1B067" w14:textId="77777777" w:rsidTr="00D56D5E">
        <w:trPr>
          <w:cantSplit/>
        </w:trPr>
        <w:tc>
          <w:tcPr>
            <w:tcW w:w="1711" w:type="dxa"/>
            <w:gridSpan w:val="2"/>
            <w:vMerge w:val="restart"/>
            <w:tcBorders>
              <w:left w:val="nil"/>
              <w:right w:val="nil"/>
            </w:tcBorders>
            <w:shd w:val="clear" w:color="auto" w:fill="FFFFFF"/>
            <w:vAlign w:val="center"/>
            <w:hideMark/>
          </w:tcPr>
          <w:p w14:paraId="43B611DE"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Model</w:t>
            </w:r>
          </w:p>
        </w:tc>
        <w:tc>
          <w:tcPr>
            <w:tcW w:w="2696" w:type="dxa"/>
            <w:gridSpan w:val="2"/>
            <w:tcBorders>
              <w:left w:val="nil"/>
              <w:right w:val="nil"/>
            </w:tcBorders>
            <w:shd w:val="clear" w:color="auto" w:fill="FFFFFF"/>
            <w:vAlign w:val="bottom"/>
            <w:hideMark/>
          </w:tcPr>
          <w:p w14:paraId="3AD847F7"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Unstandardized Coefficients</w:t>
            </w:r>
          </w:p>
        </w:tc>
        <w:tc>
          <w:tcPr>
            <w:tcW w:w="2410" w:type="dxa"/>
            <w:tcBorders>
              <w:left w:val="nil"/>
              <w:right w:val="nil"/>
            </w:tcBorders>
            <w:shd w:val="clear" w:color="auto" w:fill="FFFFFF"/>
            <w:vAlign w:val="bottom"/>
            <w:hideMark/>
          </w:tcPr>
          <w:p w14:paraId="164DB22A"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Standardized Coefficients</w:t>
            </w:r>
          </w:p>
        </w:tc>
        <w:tc>
          <w:tcPr>
            <w:tcW w:w="1126" w:type="dxa"/>
            <w:vMerge w:val="restart"/>
            <w:tcBorders>
              <w:left w:val="nil"/>
              <w:right w:val="nil"/>
            </w:tcBorders>
            <w:shd w:val="clear" w:color="auto" w:fill="FFFFFF"/>
            <w:vAlign w:val="center"/>
            <w:hideMark/>
          </w:tcPr>
          <w:p w14:paraId="3DB8AA28"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t</w:t>
            </w:r>
          </w:p>
        </w:tc>
        <w:tc>
          <w:tcPr>
            <w:tcW w:w="1134" w:type="dxa"/>
            <w:vMerge w:val="restart"/>
            <w:tcBorders>
              <w:left w:val="nil"/>
              <w:right w:val="nil"/>
            </w:tcBorders>
            <w:shd w:val="clear" w:color="auto" w:fill="FFFFFF"/>
            <w:vAlign w:val="center"/>
            <w:hideMark/>
          </w:tcPr>
          <w:p w14:paraId="7064A382"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Sig.</w:t>
            </w:r>
          </w:p>
        </w:tc>
      </w:tr>
      <w:tr w:rsidR="003B03C8" w:rsidRPr="000A0C4D" w14:paraId="551E343E" w14:textId="77777777" w:rsidTr="00D56D5E">
        <w:trPr>
          <w:cantSplit/>
        </w:trPr>
        <w:tc>
          <w:tcPr>
            <w:tcW w:w="1711" w:type="dxa"/>
            <w:gridSpan w:val="2"/>
            <w:vMerge/>
            <w:tcBorders>
              <w:left w:val="nil"/>
              <w:right w:val="nil"/>
            </w:tcBorders>
            <w:vAlign w:val="center"/>
            <w:hideMark/>
          </w:tcPr>
          <w:p w14:paraId="70395B1F" w14:textId="77777777" w:rsidR="0058178B" w:rsidRPr="000A0C4D" w:rsidRDefault="0058178B" w:rsidP="0058178B">
            <w:pPr>
              <w:spacing w:after="0"/>
              <w:ind w:hanging="2"/>
              <w:rPr>
                <w:rFonts w:ascii="Palatino Linotype" w:hAnsi="Palatino Linotype"/>
                <w:color w:val="000000"/>
                <w:sz w:val="20"/>
                <w:szCs w:val="20"/>
                <w:lang w:eastAsia="id-ID"/>
              </w:rPr>
            </w:pPr>
          </w:p>
        </w:tc>
        <w:tc>
          <w:tcPr>
            <w:tcW w:w="1135" w:type="dxa"/>
            <w:tcBorders>
              <w:left w:val="nil"/>
              <w:right w:val="nil"/>
            </w:tcBorders>
            <w:shd w:val="clear" w:color="auto" w:fill="FFFFFF"/>
            <w:vAlign w:val="bottom"/>
            <w:hideMark/>
          </w:tcPr>
          <w:p w14:paraId="6369B031"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B</w:t>
            </w:r>
          </w:p>
        </w:tc>
        <w:tc>
          <w:tcPr>
            <w:tcW w:w="1561" w:type="dxa"/>
            <w:tcBorders>
              <w:left w:val="nil"/>
              <w:right w:val="nil"/>
            </w:tcBorders>
            <w:shd w:val="clear" w:color="auto" w:fill="FFFFFF"/>
            <w:vAlign w:val="bottom"/>
            <w:hideMark/>
          </w:tcPr>
          <w:p w14:paraId="6899326C"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Std. Error</w:t>
            </w:r>
          </w:p>
        </w:tc>
        <w:tc>
          <w:tcPr>
            <w:tcW w:w="2410" w:type="dxa"/>
            <w:tcBorders>
              <w:left w:val="nil"/>
              <w:right w:val="nil"/>
            </w:tcBorders>
            <w:shd w:val="clear" w:color="auto" w:fill="FFFFFF"/>
            <w:vAlign w:val="bottom"/>
            <w:hideMark/>
          </w:tcPr>
          <w:p w14:paraId="58304548"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Beta</w:t>
            </w:r>
          </w:p>
        </w:tc>
        <w:tc>
          <w:tcPr>
            <w:tcW w:w="1126" w:type="dxa"/>
            <w:vMerge/>
            <w:tcBorders>
              <w:left w:val="nil"/>
              <w:right w:val="nil"/>
            </w:tcBorders>
            <w:vAlign w:val="center"/>
            <w:hideMark/>
          </w:tcPr>
          <w:p w14:paraId="4EDEB226" w14:textId="77777777" w:rsidR="0058178B" w:rsidRPr="000A0C4D" w:rsidRDefault="0058178B" w:rsidP="0058178B">
            <w:pPr>
              <w:spacing w:after="0"/>
              <w:ind w:hanging="2"/>
              <w:rPr>
                <w:rFonts w:ascii="Palatino Linotype" w:hAnsi="Palatino Linotype"/>
                <w:color w:val="000000"/>
                <w:sz w:val="20"/>
                <w:szCs w:val="20"/>
                <w:lang w:eastAsia="id-ID"/>
              </w:rPr>
            </w:pPr>
          </w:p>
        </w:tc>
        <w:tc>
          <w:tcPr>
            <w:tcW w:w="1134" w:type="dxa"/>
            <w:vMerge/>
            <w:tcBorders>
              <w:left w:val="nil"/>
              <w:right w:val="nil"/>
            </w:tcBorders>
            <w:vAlign w:val="center"/>
            <w:hideMark/>
          </w:tcPr>
          <w:p w14:paraId="50653139" w14:textId="77777777" w:rsidR="0058178B" w:rsidRPr="000A0C4D" w:rsidRDefault="0058178B" w:rsidP="0058178B">
            <w:pPr>
              <w:spacing w:after="0"/>
              <w:ind w:hanging="2"/>
              <w:rPr>
                <w:rFonts w:ascii="Palatino Linotype" w:hAnsi="Palatino Linotype"/>
                <w:color w:val="000000"/>
                <w:sz w:val="20"/>
                <w:szCs w:val="20"/>
                <w:lang w:eastAsia="id-ID"/>
              </w:rPr>
            </w:pPr>
          </w:p>
        </w:tc>
      </w:tr>
      <w:tr w:rsidR="003B03C8" w:rsidRPr="000A0C4D" w14:paraId="040D44E2" w14:textId="77777777" w:rsidTr="00D56D5E">
        <w:trPr>
          <w:cantSplit/>
        </w:trPr>
        <w:tc>
          <w:tcPr>
            <w:tcW w:w="435" w:type="dxa"/>
            <w:vMerge w:val="restart"/>
            <w:tcBorders>
              <w:left w:val="nil"/>
              <w:right w:val="nil"/>
            </w:tcBorders>
            <w:shd w:val="clear" w:color="auto" w:fill="FFFFFF"/>
            <w:hideMark/>
          </w:tcPr>
          <w:p w14:paraId="02C714E1" w14:textId="77777777" w:rsidR="00092A09" w:rsidRPr="000A0C4D" w:rsidRDefault="007024BD">
            <w:pPr>
              <w:autoSpaceDE w:val="0"/>
              <w:autoSpaceDN w:val="0"/>
              <w:adjustRightInd w:val="0"/>
              <w:spacing w:after="0"/>
              <w:ind w:right="60" w:hanging="2"/>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1</w:t>
            </w:r>
          </w:p>
        </w:tc>
        <w:tc>
          <w:tcPr>
            <w:tcW w:w="1276" w:type="dxa"/>
            <w:tcBorders>
              <w:left w:val="nil"/>
              <w:right w:val="nil"/>
            </w:tcBorders>
            <w:shd w:val="clear" w:color="auto" w:fill="FFFFFF"/>
            <w:hideMark/>
          </w:tcPr>
          <w:p w14:paraId="2A78B3DC" w14:textId="77777777" w:rsidR="00092A09" w:rsidRPr="000A0C4D" w:rsidRDefault="007024BD">
            <w:pPr>
              <w:autoSpaceDE w:val="0"/>
              <w:autoSpaceDN w:val="0"/>
              <w:adjustRightInd w:val="0"/>
              <w:spacing w:after="0"/>
              <w:ind w:right="60" w:hanging="2"/>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(Constant)</w:t>
            </w:r>
          </w:p>
        </w:tc>
        <w:tc>
          <w:tcPr>
            <w:tcW w:w="1135" w:type="dxa"/>
            <w:tcBorders>
              <w:left w:val="nil"/>
              <w:right w:val="nil"/>
            </w:tcBorders>
            <w:shd w:val="clear" w:color="auto" w:fill="FFFFFF"/>
            <w:vAlign w:val="center"/>
            <w:hideMark/>
          </w:tcPr>
          <w:p w14:paraId="7398DAA2"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rPr>
              <w:t>48.543</w:t>
            </w:r>
          </w:p>
        </w:tc>
        <w:tc>
          <w:tcPr>
            <w:tcW w:w="1561" w:type="dxa"/>
            <w:tcBorders>
              <w:left w:val="nil"/>
              <w:right w:val="nil"/>
            </w:tcBorders>
            <w:shd w:val="clear" w:color="auto" w:fill="FFFFFF"/>
            <w:vAlign w:val="center"/>
            <w:hideMark/>
          </w:tcPr>
          <w:p w14:paraId="4A087648"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12.700</w:t>
            </w:r>
          </w:p>
        </w:tc>
        <w:tc>
          <w:tcPr>
            <w:tcW w:w="2410" w:type="dxa"/>
            <w:tcBorders>
              <w:left w:val="nil"/>
              <w:right w:val="nil"/>
            </w:tcBorders>
            <w:shd w:val="clear" w:color="auto" w:fill="FFFFFF"/>
            <w:vAlign w:val="center"/>
          </w:tcPr>
          <w:p w14:paraId="41AE84B1" w14:textId="77777777" w:rsidR="0058178B" w:rsidRPr="000A0C4D" w:rsidRDefault="0058178B" w:rsidP="0058178B">
            <w:pPr>
              <w:autoSpaceDE w:val="0"/>
              <w:autoSpaceDN w:val="0"/>
              <w:adjustRightInd w:val="0"/>
              <w:spacing w:after="0"/>
              <w:ind w:hanging="2"/>
              <w:rPr>
                <w:rFonts w:ascii="Palatino Linotype" w:hAnsi="Palatino Linotype"/>
                <w:sz w:val="20"/>
                <w:szCs w:val="20"/>
                <w:lang w:eastAsia="id-ID"/>
              </w:rPr>
            </w:pPr>
          </w:p>
        </w:tc>
        <w:tc>
          <w:tcPr>
            <w:tcW w:w="1126" w:type="dxa"/>
            <w:tcBorders>
              <w:left w:val="nil"/>
              <w:right w:val="nil"/>
            </w:tcBorders>
            <w:shd w:val="clear" w:color="auto" w:fill="FFFFFF"/>
            <w:vAlign w:val="center"/>
            <w:hideMark/>
          </w:tcPr>
          <w:p w14:paraId="5F2560A7"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3.822</w:t>
            </w:r>
          </w:p>
        </w:tc>
        <w:tc>
          <w:tcPr>
            <w:tcW w:w="1134" w:type="dxa"/>
            <w:tcBorders>
              <w:left w:val="nil"/>
              <w:right w:val="nil"/>
            </w:tcBorders>
            <w:shd w:val="clear" w:color="auto" w:fill="FFFFFF"/>
            <w:vAlign w:val="center"/>
            <w:hideMark/>
          </w:tcPr>
          <w:p w14:paraId="37F9C527"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.000</w:t>
            </w:r>
          </w:p>
        </w:tc>
      </w:tr>
      <w:tr w:rsidR="003B03C8" w:rsidRPr="000A0C4D" w14:paraId="03F95365" w14:textId="77777777" w:rsidTr="00D56D5E">
        <w:trPr>
          <w:cantSplit/>
        </w:trPr>
        <w:tc>
          <w:tcPr>
            <w:tcW w:w="435" w:type="dxa"/>
            <w:vMerge/>
            <w:tcBorders>
              <w:left w:val="nil"/>
              <w:right w:val="nil"/>
            </w:tcBorders>
            <w:vAlign w:val="center"/>
            <w:hideMark/>
          </w:tcPr>
          <w:p w14:paraId="0C18522B" w14:textId="77777777" w:rsidR="0058178B" w:rsidRPr="000A0C4D" w:rsidRDefault="0058178B" w:rsidP="0058178B">
            <w:pPr>
              <w:spacing w:after="0"/>
              <w:ind w:hanging="2"/>
              <w:rPr>
                <w:rFonts w:ascii="Palatino Linotype" w:hAnsi="Palatino Linotype"/>
                <w:color w:val="000000"/>
                <w:sz w:val="20"/>
                <w:szCs w:val="20"/>
                <w:lang w:eastAsia="id-ID"/>
              </w:rPr>
            </w:pPr>
          </w:p>
        </w:tc>
        <w:tc>
          <w:tcPr>
            <w:tcW w:w="1276" w:type="dxa"/>
            <w:tcBorders>
              <w:left w:val="nil"/>
              <w:right w:val="nil"/>
            </w:tcBorders>
            <w:shd w:val="clear" w:color="auto" w:fill="FFFFFF"/>
            <w:hideMark/>
          </w:tcPr>
          <w:p w14:paraId="1C14FAB7" w14:textId="77777777" w:rsidR="00092A09" w:rsidRPr="000A0C4D" w:rsidRDefault="007024BD">
            <w:pPr>
              <w:autoSpaceDE w:val="0"/>
              <w:autoSpaceDN w:val="0"/>
              <w:adjustRightInd w:val="0"/>
              <w:spacing w:after="0"/>
              <w:ind w:right="60" w:hanging="2"/>
              <w:rPr>
                <w:rFonts w:ascii="Palatino Linotype" w:hAnsi="Palatino Linotype"/>
                <w:color w:val="000000"/>
                <w:sz w:val="20"/>
                <w:szCs w:val="20"/>
                <w:lang w:eastAsia="id-ID"/>
              </w:rPr>
            </w:pPr>
            <w:proofErr w:type="spellStart"/>
            <w:r w:rsidRPr="000A0C4D">
              <w:rPr>
                <w:rFonts w:ascii="Palatino Linotype" w:hAnsi="Palatino Linotype"/>
                <w:color w:val="000000"/>
                <w:sz w:val="20"/>
                <w:szCs w:val="20"/>
                <w:lang w:eastAsia="id-ID"/>
              </w:rPr>
              <w:t>Pre.Sis</w:t>
            </w:r>
            <w:proofErr w:type="spellEnd"/>
          </w:p>
        </w:tc>
        <w:tc>
          <w:tcPr>
            <w:tcW w:w="1135" w:type="dxa"/>
            <w:tcBorders>
              <w:left w:val="nil"/>
              <w:right w:val="nil"/>
            </w:tcBorders>
            <w:shd w:val="clear" w:color="auto" w:fill="FFFFFF"/>
            <w:vAlign w:val="center"/>
            <w:hideMark/>
          </w:tcPr>
          <w:p w14:paraId="6BE2EFB5"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.224</w:t>
            </w:r>
          </w:p>
        </w:tc>
        <w:tc>
          <w:tcPr>
            <w:tcW w:w="1561" w:type="dxa"/>
            <w:tcBorders>
              <w:left w:val="nil"/>
              <w:right w:val="nil"/>
            </w:tcBorders>
            <w:shd w:val="clear" w:color="auto" w:fill="FFFFFF"/>
            <w:vAlign w:val="center"/>
            <w:hideMark/>
          </w:tcPr>
          <w:p w14:paraId="7C12D98D"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.183</w:t>
            </w:r>
          </w:p>
        </w:tc>
        <w:tc>
          <w:tcPr>
            <w:tcW w:w="2410" w:type="dxa"/>
            <w:tcBorders>
              <w:left w:val="nil"/>
              <w:right w:val="nil"/>
            </w:tcBorders>
            <w:shd w:val="clear" w:color="auto" w:fill="FFFFFF"/>
            <w:vAlign w:val="center"/>
            <w:hideMark/>
          </w:tcPr>
          <w:p w14:paraId="7A30FE84"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.142</w:t>
            </w:r>
          </w:p>
        </w:tc>
        <w:tc>
          <w:tcPr>
            <w:tcW w:w="1126" w:type="dxa"/>
            <w:tcBorders>
              <w:left w:val="nil"/>
              <w:right w:val="nil"/>
            </w:tcBorders>
            <w:shd w:val="clear" w:color="auto" w:fill="FFFFFF"/>
            <w:vAlign w:val="center"/>
            <w:hideMark/>
          </w:tcPr>
          <w:p w14:paraId="44A0F761"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1.227</w:t>
            </w:r>
          </w:p>
        </w:tc>
        <w:tc>
          <w:tcPr>
            <w:tcW w:w="1134" w:type="dxa"/>
            <w:tcBorders>
              <w:left w:val="nil"/>
              <w:right w:val="nil"/>
            </w:tcBorders>
            <w:shd w:val="clear" w:color="auto" w:fill="FFFFFF"/>
            <w:vAlign w:val="center"/>
            <w:hideMark/>
          </w:tcPr>
          <w:p w14:paraId="6E3F0D97" w14:textId="77777777" w:rsidR="00092A09" w:rsidRPr="000A0C4D" w:rsidRDefault="007024BD">
            <w:pPr>
              <w:autoSpaceDE w:val="0"/>
              <w:autoSpaceDN w:val="0"/>
              <w:adjustRightInd w:val="0"/>
              <w:spacing w:after="0"/>
              <w:ind w:right="60" w:hanging="2"/>
              <w:jc w:val="center"/>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.224</w:t>
            </w:r>
          </w:p>
        </w:tc>
      </w:tr>
      <w:tr w:rsidR="003B03C8" w:rsidRPr="000A0C4D" w14:paraId="31D54520" w14:textId="77777777" w:rsidTr="00D56D5E">
        <w:trPr>
          <w:cantSplit/>
          <w:trHeight w:val="327"/>
        </w:trPr>
        <w:tc>
          <w:tcPr>
            <w:tcW w:w="9077" w:type="dxa"/>
            <w:gridSpan w:val="7"/>
            <w:tcBorders>
              <w:left w:val="nil"/>
              <w:bottom w:val="nil"/>
              <w:right w:val="nil"/>
            </w:tcBorders>
            <w:shd w:val="clear" w:color="auto" w:fill="FFFFFF"/>
            <w:hideMark/>
          </w:tcPr>
          <w:p w14:paraId="0F00EEC9" w14:textId="77777777" w:rsidR="00092A09" w:rsidRPr="000A0C4D" w:rsidRDefault="007024BD">
            <w:pPr>
              <w:pStyle w:val="ListParagraph"/>
              <w:numPr>
                <w:ilvl w:val="0"/>
                <w:numId w:val="20"/>
              </w:numPr>
              <w:autoSpaceDE w:val="0"/>
              <w:autoSpaceDN w:val="0"/>
              <w:adjustRightInd w:val="0"/>
              <w:spacing w:after="0" w:line="240" w:lineRule="auto"/>
              <w:ind w:left="0" w:right="60" w:hanging="2"/>
              <w:rPr>
                <w:rFonts w:ascii="Palatino Linotype" w:hAnsi="Palatino Linotype"/>
                <w:color w:val="000000"/>
                <w:sz w:val="20"/>
                <w:szCs w:val="20"/>
                <w:lang w:eastAsia="id-ID"/>
              </w:rPr>
            </w:pPr>
            <w:r w:rsidRPr="000A0C4D">
              <w:rPr>
                <w:rFonts w:ascii="Palatino Linotype" w:hAnsi="Palatino Linotype"/>
                <w:color w:val="000000"/>
                <w:sz w:val="20"/>
                <w:szCs w:val="20"/>
                <w:lang w:eastAsia="id-ID"/>
              </w:rPr>
              <w:t>Dependent Variable: MB</w:t>
            </w:r>
          </w:p>
        </w:tc>
      </w:tr>
    </w:tbl>
    <w:p w14:paraId="5DC9A7A0" w14:textId="77777777" w:rsidR="0058178B" w:rsidRPr="000A0C4D" w:rsidRDefault="0058178B" w:rsidP="0058178B">
      <w:pPr>
        <w:spacing w:after="0"/>
        <w:ind w:left="-2" w:firstLineChars="283" w:firstLine="566"/>
        <w:jc w:val="both"/>
        <w:rPr>
          <w:rFonts w:ascii="Palatino Linotype" w:hAnsi="Palatino Linotype"/>
          <w:sz w:val="20"/>
          <w:szCs w:val="20"/>
        </w:rPr>
      </w:pPr>
    </w:p>
    <w:p w14:paraId="1C309E83" w14:textId="77777777" w:rsidR="00092A09" w:rsidRPr="000A0C4D" w:rsidRDefault="007024BD">
      <w:pPr>
        <w:spacing w:after="0"/>
        <w:ind w:left="-2" w:firstLineChars="283" w:firstLine="566"/>
        <w:jc w:val="both"/>
        <w:rPr>
          <w:rFonts w:ascii="Palatino Linotype" w:hAnsi="Palatino Linotype"/>
          <w:sz w:val="20"/>
          <w:szCs w:val="20"/>
        </w:rPr>
      </w:pPr>
      <w:r w:rsidRPr="000A0C4D">
        <w:rPr>
          <w:rFonts w:ascii="Palatino Linotype" w:hAnsi="Palatino Linotype"/>
          <w:sz w:val="20"/>
          <w:szCs w:val="20"/>
        </w:rPr>
        <w:t xml:space="preserve">The study's results prove that there is no linear correlation between student perceptions and learning motivation, which means </w:t>
      </w:r>
      <w:r w:rsidRPr="000A0C4D">
        <w:rPr>
          <w:rFonts w:ascii="Palatino Linotype" w:hAnsi="Palatino Linotype"/>
          <w:sz w:val="20"/>
          <w:szCs w:val="20"/>
        </w:rPr>
        <w:t>that the student perception factor does not determine student learning motivation. Based on the results of this study, it was found that the relationship between student perceptions and learning motivation in exceptionally high school students is an anomal</w:t>
      </w:r>
      <w:r w:rsidRPr="000A0C4D">
        <w:rPr>
          <w:rFonts w:ascii="Palatino Linotype" w:hAnsi="Palatino Linotype"/>
          <w:sz w:val="20"/>
          <w:szCs w:val="20"/>
        </w:rPr>
        <w:t>y.</w:t>
      </w:r>
    </w:p>
    <w:p w14:paraId="103DC4F6" w14:textId="77777777" w:rsidR="00092A09" w:rsidRPr="000A0C4D" w:rsidRDefault="000201DB">
      <w:pPr>
        <w:spacing w:after="0"/>
        <w:ind w:left="-2" w:firstLineChars="283" w:firstLine="566"/>
        <w:jc w:val="both"/>
        <w:rPr>
          <w:rFonts w:ascii="Palatino Linotype" w:hAnsi="Palatino Linotype"/>
          <w:sz w:val="20"/>
          <w:szCs w:val="20"/>
        </w:rPr>
      </w:pPr>
      <w:r w:rsidRPr="000A0C4D">
        <w:rPr>
          <w:rFonts w:ascii="Palatino Linotype" w:hAnsi="Palatino Linotype"/>
          <w:sz w:val="20"/>
          <w:szCs w:val="20"/>
          <w:lang w:val="id-ID"/>
        </w:rPr>
        <w:t>A person will have diverse perceptions of a situation in applying learning strategies. Perception is a process that involves the entry of messages and information into the human brain</w:t>
      </w:r>
      <w:r w:rsidRPr="000A0C4D">
        <w:rPr>
          <w:rFonts w:ascii="Palatino Linotype" w:hAnsi="Palatino Linotype"/>
          <w:sz w:val="20"/>
          <w:szCs w:val="20"/>
          <w:lang w:val="en-US"/>
        </w:rPr>
        <w:t>.</w:t>
      </w:r>
      <w:r w:rsidRPr="000A0C4D">
        <w:rPr>
          <w:rFonts w:ascii="Palatino Linotype" w:hAnsi="Palatino Linotype"/>
          <w:sz w:val="20"/>
          <w:szCs w:val="20"/>
          <w:lang w:val="id-ID"/>
        </w:rPr>
        <w:t xml:space="preserve"> </w:t>
      </w:r>
      <w:r w:rsidRPr="000A0C4D">
        <w:rPr>
          <w:rFonts w:ascii="Palatino Linotype" w:hAnsi="Palatino Linotype"/>
          <w:sz w:val="20"/>
          <w:szCs w:val="20"/>
          <w:lang w:val="en-US"/>
        </w:rPr>
        <w:t>T</w:t>
      </w:r>
      <w:r w:rsidRPr="000A0C4D">
        <w:rPr>
          <w:rFonts w:ascii="Palatino Linotype" w:hAnsi="Palatino Linotype"/>
          <w:sz w:val="20"/>
          <w:szCs w:val="20"/>
          <w:lang w:val="id-ID"/>
        </w:rPr>
        <w:t>hrough perception, humans continuously establish a relationship with their environment</w:t>
      </w:r>
      <w:r w:rsidR="00107B44" w:rsidRPr="000A0C4D">
        <w:rPr>
          <w:rFonts w:ascii="Palatino Linotype" w:hAnsi="Palatino Linotype"/>
          <w:sz w:val="20"/>
          <w:szCs w:val="20"/>
          <w:lang w:val="en-US"/>
        </w:rPr>
        <w:t>.</w:t>
      </w:r>
      <w:r w:rsidRPr="000A0C4D">
        <w:rPr>
          <w:rFonts w:ascii="Palatino Linotype" w:hAnsi="Palatino Linotype"/>
          <w:sz w:val="20"/>
          <w:szCs w:val="20"/>
          <w:lang w:val="id-ID"/>
        </w:rPr>
        <w:t xml:space="preserve"> </w:t>
      </w:r>
      <w:r w:rsidR="00107B44" w:rsidRPr="000A0C4D">
        <w:rPr>
          <w:rFonts w:ascii="Palatino Linotype" w:hAnsi="Palatino Linotype"/>
          <w:sz w:val="20"/>
          <w:szCs w:val="20"/>
          <w:lang w:val="en-US"/>
        </w:rPr>
        <w:t>T</w:t>
      </w:r>
      <w:r w:rsidRPr="000A0C4D">
        <w:rPr>
          <w:rFonts w:ascii="Palatino Linotype" w:hAnsi="Palatino Linotype"/>
          <w:sz w:val="20"/>
          <w:szCs w:val="20"/>
          <w:lang w:val="id-ID"/>
        </w:rPr>
        <w:t xml:space="preserve">his relationship is carried out through their five senses, namely the senses of sight, hearing, touch, taste, and smell. Perception is a process of entering experiences about objects and events in the form of messages or information into the human brain, which then forms the thinking process. The nature of likes and dislikes, </w:t>
      </w:r>
      <w:proofErr w:type="spellStart"/>
      <w:r w:rsidR="00107B44" w:rsidRPr="000A0C4D">
        <w:rPr>
          <w:rFonts w:ascii="Palatino Linotype" w:hAnsi="Palatino Linotype"/>
          <w:sz w:val="20"/>
          <w:szCs w:val="20"/>
          <w:lang w:val="en-US"/>
        </w:rPr>
        <w:t>happ</w:t>
      </w:r>
      <w:proofErr w:type="spellEnd"/>
      <w:r w:rsidRPr="000A0C4D">
        <w:rPr>
          <w:rFonts w:ascii="Palatino Linotype" w:hAnsi="Palatino Linotype"/>
          <w:sz w:val="20"/>
          <w:szCs w:val="20"/>
          <w:lang w:val="id-ID"/>
        </w:rPr>
        <w:t xml:space="preserve">iness, and </w:t>
      </w:r>
      <w:proofErr w:type="spellStart"/>
      <w:r w:rsidR="00107B44" w:rsidRPr="000A0C4D">
        <w:rPr>
          <w:rFonts w:ascii="Palatino Linotype" w:hAnsi="Palatino Linotype"/>
          <w:sz w:val="20"/>
          <w:szCs w:val="20"/>
          <w:lang w:val="en-US"/>
        </w:rPr>
        <w:t>unhapp</w:t>
      </w:r>
      <w:proofErr w:type="spellEnd"/>
      <w:r w:rsidRPr="000A0C4D">
        <w:rPr>
          <w:rFonts w:ascii="Palatino Linotype" w:hAnsi="Palatino Linotype"/>
          <w:sz w:val="20"/>
          <w:szCs w:val="20"/>
          <w:lang w:val="id-ID"/>
        </w:rPr>
        <w:t>iness towards an object, will cause an image in the formation of perception.</w:t>
      </w:r>
    </w:p>
    <w:p w14:paraId="2CB9BBC7" w14:textId="77777777" w:rsidR="00092A09" w:rsidRPr="000A0C4D" w:rsidRDefault="007024BD">
      <w:pPr>
        <w:spacing w:after="0" w:line="240" w:lineRule="auto"/>
        <w:ind w:left="-2" w:firstLineChars="283" w:firstLine="566"/>
        <w:jc w:val="both"/>
        <w:rPr>
          <w:rFonts w:ascii="Palatino Linotype" w:hAnsi="Palatino Linotype"/>
          <w:sz w:val="20"/>
          <w:szCs w:val="20"/>
        </w:rPr>
      </w:pPr>
      <w:r w:rsidRPr="000A0C4D">
        <w:rPr>
          <w:rFonts w:ascii="Palatino Linotype" w:hAnsi="Palatino Linotype"/>
          <w:sz w:val="20"/>
          <w:szCs w:val="20"/>
          <w:lang w:val="id-ID"/>
        </w:rPr>
        <w:t>These results show that when students do not desire</w:t>
      </w:r>
      <w:r w:rsidR="00E21A05" w:rsidRPr="000A0C4D">
        <w:rPr>
          <w:rFonts w:ascii="Palatino Linotype" w:hAnsi="Palatino Linotype"/>
          <w:sz w:val="20"/>
          <w:szCs w:val="20"/>
          <w:lang w:val="en-US"/>
        </w:rPr>
        <w:t xml:space="preserve"> </w:t>
      </w:r>
      <w:r w:rsidRPr="000A0C4D">
        <w:rPr>
          <w:rFonts w:ascii="Palatino Linotype" w:hAnsi="Palatino Linotype"/>
          <w:sz w:val="20"/>
          <w:szCs w:val="20"/>
          <w:lang w:val="id-ID"/>
        </w:rPr>
        <w:t xml:space="preserve">to carry </w:t>
      </w:r>
      <w:r w:rsidRPr="000A0C4D">
        <w:rPr>
          <w:rFonts w:ascii="Palatino Linotype" w:hAnsi="Palatino Linotype"/>
          <w:sz w:val="20"/>
          <w:szCs w:val="20"/>
          <w:lang w:val="id-ID"/>
        </w:rPr>
        <w:t>out learning activities, it dramatically affects student learning outcomes, so understanding of the material is also lacking and impacts student learning outcomes which tend to be not good. Learning motivation is carried out to overcome students' declining</w:t>
      </w:r>
      <w:r w:rsidRPr="000A0C4D">
        <w:rPr>
          <w:rFonts w:ascii="Palatino Linotype" w:hAnsi="Palatino Linotype"/>
          <w:sz w:val="20"/>
          <w:szCs w:val="20"/>
          <w:lang w:val="id-ID"/>
        </w:rPr>
        <w:t xml:space="preserve"> learning outcomes, who tend to be reluctant to learn since the pandemic period. Continuous </w:t>
      </w:r>
      <w:r w:rsidRPr="000A0C4D">
        <w:rPr>
          <w:rFonts w:ascii="Palatino Linotype" w:hAnsi="Palatino Linotype"/>
          <w:sz w:val="20"/>
          <w:szCs w:val="20"/>
        </w:rPr>
        <w:t xml:space="preserve">BL </w:t>
      </w:r>
      <w:r w:rsidRPr="000A0C4D">
        <w:rPr>
          <w:rFonts w:ascii="Palatino Linotype" w:hAnsi="Palatino Linotype"/>
          <w:sz w:val="20"/>
          <w:szCs w:val="20"/>
          <w:lang w:val="id-ID"/>
        </w:rPr>
        <w:t>learning impacts student learning outcomes, and student guardians have approved the implementation of this face-to-face learning</w:t>
      </w:r>
      <w:r w:rsidRPr="000A0C4D">
        <w:rPr>
          <w:rFonts w:ascii="Palatino Linotype" w:hAnsi="Palatino Linotype"/>
          <w:sz w:val="20"/>
          <w:szCs w:val="20"/>
        </w:rPr>
        <w:t xml:space="preserve">. </w:t>
      </w:r>
      <w:r w:rsidRPr="000A0C4D">
        <w:rPr>
          <w:rFonts w:ascii="Palatino Linotype" w:hAnsi="Palatino Linotype"/>
          <w:sz w:val="20"/>
          <w:szCs w:val="20"/>
          <w:lang w:val="id-ID"/>
        </w:rPr>
        <w:t>Learning motivation provided by</w:t>
      </w:r>
      <w:r w:rsidRPr="000A0C4D">
        <w:rPr>
          <w:rFonts w:ascii="Palatino Linotype" w:hAnsi="Palatino Linotype"/>
          <w:sz w:val="20"/>
          <w:szCs w:val="20"/>
          <w:lang w:val="id-ID"/>
        </w:rPr>
        <w:t xml:space="preserve"> teachers and parents in online learning runs well.</w:t>
      </w:r>
      <w:r w:rsidRPr="000A0C4D">
        <w:rPr>
          <w:rFonts w:ascii="Palatino Linotype" w:hAnsi="Palatino Linotype"/>
          <w:sz w:val="20"/>
          <w:szCs w:val="20"/>
        </w:rPr>
        <w:t xml:space="preserve"> Factors that influence student learning motivation are socioeconomic, family environment, and cultural environment. </w:t>
      </w:r>
      <w:r w:rsidRPr="000A0C4D">
        <w:rPr>
          <w:rFonts w:ascii="Palatino Linotype" w:hAnsi="Palatino Linotype"/>
          <w:sz w:val="20"/>
          <w:szCs w:val="20"/>
        </w:rPr>
        <w:fldChar w:fldCharType="begin" w:fldLock="1"/>
      </w:r>
      <w:r w:rsidRPr="000A0C4D">
        <w:rPr>
          <w:rFonts w:ascii="Palatino Linotype" w:hAnsi="Palatino Linotype"/>
          <w:sz w:val="20"/>
          <w:szCs w:val="20"/>
        </w:rPr>
        <w:instrText>ADDIN CSL_CITATION {"citationItems":[{"id":"ITEM-1","itemData":{"ISSN":"14502267","abstr</w:instrText>
      </w:r>
      <w:r w:rsidRPr="000A0C4D">
        <w:rPr>
          <w:rFonts w:ascii="Palatino Linotype" w:hAnsi="Palatino Linotype"/>
          <w:sz w:val="20"/>
          <w:szCs w:val="20"/>
        </w:rPr>
        <w:instrText>act":"Among many factors affecting the motivation of students in language learning, socioeconomic status and physical learning environment have been chosen as the main variables of this study. These variables were studied in private and public university c</w:instrText>
      </w:r>
      <w:r w:rsidRPr="000A0C4D">
        <w:rPr>
          <w:rFonts w:ascii="Palatino Linotype" w:hAnsi="Palatino Linotype"/>
          <w:sz w:val="20"/>
          <w:szCs w:val="20"/>
        </w:rPr>
        <w:instrText>ontext considering the participants' different social class backgrounds and the quality of the learning environment in which 228 university student; 115 from public and 113 from private university, from different departments participated in the study. Usin</w:instrText>
      </w:r>
      <w:r w:rsidRPr="000A0C4D">
        <w:rPr>
          <w:rFonts w:ascii="Palatino Linotype" w:hAnsi="Palatino Linotype"/>
          <w:sz w:val="20"/>
          <w:szCs w:val="20"/>
        </w:rPr>
        <w:instrText>g a 5-item Likert scale, the participants were asked about (i) the degree of their motivation (ii) reasons of language learning (iii) use of English. The quantitative data were supported with qualitative data through semi-structured focus group interviews.</w:instrText>
      </w:r>
      <w:r w:rsidRPr="000A0C4D">
        <w:rPr>
          <w:rFonts w:ascii="Palatino Linotype" w:hAnsi="Palatino Linotype"/>
          <w:sz w:val="20"/>
          <w:szCs w:val="20"/>
        </w:rPr>
        <w:instrText xml:space="preserve"> The results indicate that the private university students' motivational level is significantly higher than the public university students. Further analyses reveal that socioeconomic background and wellequipped classrooms and better physical conditions hav</w:instrText>
      </w:r>
      <w:r w:rsidRPr="000A0C4D">
        <w:rPr>
          <w:rFonts w:ascii="Palatino Linotype" w:hAnsi="Palatino Linotype"/>
          <w:sz w:val="20"/>
          <w:szCs w:val="20"/>
        </w:rPr>
        <w:instrText>e a positive impact on private university students' motivation and language use.","author":[{"dropping-particle":"","family":"Bektas-Cetinkaya","given":"Yesim","non-dropping-particle":"","parse-names":false,"suffix":""},{"dropping-particle":"","family":"Or</w:instrText>
      </w:r>
      <w:r w:rsidRPr="000A0C4D">
        <w:rPr>
          <w:rFonts w:ascii="Palatino Linotype" w:hAnsi="Palatino Linotype"/>
          <w:sz w:val="20"/>
          <w:szCs w:val="20"/>
        </w:rPr>
        <w:instrText>uc","given":"Nesrin","non-dropping-particle":"","parse-names":false,"suffix":""}],"container-title":"European Journal of Social Sciences","id":"ITEM-1","issue":"1","issued":{"date-parts":[["2011"]]},"page":"71-79","title":"Effects of socioeconomic status a</w:instrText>
      </w:r>
      <w:r w:rsidRPr="000A0C4D">
        <w:rPr>
          <w:rFonts w:ascii="Palatino Linotype" w:hAnsi="Palatino Linotype"/>
          <w:sz w:val="20"/>
          <w:szCs w:val="20"/>
        </w:rPr>
        <w:instrText>nd physical learning environment on motivation of university students","type":"article-journal","volume":"21"},"uris":["http://www.mendeley.com/documents/?uuid=42a83279-f397-4f27-bf77-073f9bcf3cfd"]}],"mendeley":{"formattedCitation":"(Bektas-Cetinkaya &amp; Or</w:instrText>
      </w:r>
      <w:r w:rsidRPr="000A0C4D">
        <w:rPr>
          <w:rFonts w:ascii="Palatino Linotype" w:hAnsi="Palatino Linotype"/>
          <w:sz w:val="20"/>
          <w:szCs w:val="20"/>
        </w:rPr>
        <w:instrText>uc, 2011)","manualFormatting":"(Bektas-Cetinkaya &amp; Oruc, 2011","plainTextFormattedCitation":"(Bektas-Cetinkaya &amp; Oruc, 2011)","previouslyFormattedCitation":"(Bektas-Cetinkaya &amp; Oruc, 2011)"},"properties":{"noteIndex":0},"schema":"https://github.com/citatio</w:instrText>
      </w:r>
      <w:r w:rsidRPr="000A0C4D">
        <w:rPr>
          <w:rFonts w:ascii="Palatino Linotype" w:hAnsi="Palatino Linotype"/>
          <w:sz w:val="20"/>
          <w:szCs w:val="20"/>
        </w:rPr>
        <w:instrText>n-style-language/schema/raw/master/csl-citation.json"}</w:instrText>
      </w:r>
      <w:r w:rsidRPr="000A0C4D">
        <w:rPr>
          <w:rFonts w:ascii="Palatino Linotype" w:hAnsi="Palatino Linotype"/>
          <w:sz w:val="20"/>
          <w:szCs w:val="20"/>
        </w:rPr>
        <w:fldChar w:fldCharType="separate"/>
      </w:r>
      <w:r w:rsidRPr="000A0C4D">
        <w:rPr>
          <w:rFonts w:ascii="Palatino Linotype" w:hAnsi="Palatino Linotype"/>
          <w:noProof/>
          <w:sz w:val="20"/>
          <w:szCs w:val="20"/>
        </w:rPr>
        <w:t>(Bektas-Cetinkaya &amp; Oruc, 2011</w:t>
      </w:r>
      <w:r w:rsidRPr="000A0C4D">
        <w:rPr>
          <w:rFonts w:ascii="Palatino Linotype" w:hAnsi="Palatino Linotype"/>
          <w:sz w:val="20"/>
          <w:szCs w:val="20"/>
        </w:rPr>
        <w:fldChar w:fldCharType="end"/>
      </w:r>
      <w:r w:rsidRPr="000A0C4D">
        <w:rPr>
          <w:rFonts w:ascii="Palatino Linotype" w:hAnsi="Palatino Linotype"/>
          <w:sz w:val="20"/>
          <w:szCs w:val="20"/>
        </w:rPr>
        <w:t xml:space="preserve">; </w:t>
      </w:r>
      <w:r w:rsidRPr="000A0C4D">
        <w:rPr>
          <w:rFonts w:ascii="Palatino Linotype" w:hAnsi="Palatino Linotype"/>
          <w:sz w:val="20"/>
          <w:szCs w:val="20"/>
        </w:rPr>
        <w:fldChar w:fldCharType="begin" w:fldLock="1"/>
      </w:r>
      <w:r w:rsidRPr="000A0C4D">
        <w:rPr>
          <w:rFonts w:ascii="Palatino Linotype" w:hAnsi="Palatino Linotype"/>
          <w:sz w:val="20"/>
          <w:szCs w:val="20"/>
        </w:rPr>
        <w:instrText>ADDIN CSL_CITATION {"citationItems":[{"id":"ITEM-1","itemData":{"DOI":"10.3390/su14169845","ISSN":"20711050","abstract":"Background: At present, family socioeconomic s</w:instrText>
      </w:r>
      <w:r w:rsidRPr="000A0C4D">
        <w:rPr>
          <w:rFonts w:ascii="Palatino Linotype" w:hAnsi="Palatino Linotype"/>
          <w:sz w:val="20"/>
          <w:szCs w:val="20"/>
        </w:rPr>
        <w:instrText>tatus is a significant contributor to the differences in university students’ learning motivation, but few studies have examined the effects on different types of motivation to learn conformity. Thus, the present study investigates the effects of family so</w:instrText>
      </w:r>
      <w:r w:rsidRPr="000A0C4D">
        <w:rPr>
          <w:rFonts w:ascii="Palatino Linotype" w:hAnsi="Palatino Linotype"/>
          <w:sz w:val="20"/>
          <w:szCs w:val="20"/>
        </w:rPr>
        <w:instrText xml:space="preserve">cioeconomic status on different types of learning conformity and the mediating role of self-efficacy. Methods: 339 Chinese university students were surveyed using the general self-efficacy scale, the learning conformity scale, and the family socioeconomic </w:instrText>
      </w:r>
      <w:r w:rsidRPr="000A0C4D">
        <w:rPr>
          <w:rFonts w:ascii="Palatino Linotype" w:hAnsi="Palatino Linotype"/>
          <w:sz w:val="20"/>
          <w:szCs w:val="20"/>
        </w:rPr>
        <w:instrText>status questionnaire. We analyzed the effect of family socioeconomic status on learning conformity and the mediating role of general self-efficacy through common bias tests, correlation analysis, structural equation modeling, and tests of mediating effects</w:instrText>
      </w:r>
      <w:r w:rsidRPr="000A0C4D">
        <w:rPr>
          <w:rFonts w:ascii="Palatino Linotype" w:hAnsi="Palatino Linotype"/>
          <w:sz w:val="20"/>
          <w:szCs w:val="20"/>
        </w:rPr>
        <w:instrText>. Results: (1) There are three types of learning conformity, as follows: learning abidance, learning obedience, and learning compliance. (2) The mediation model concluded that family socioeconomic status had a positive and significant effect on learning ab</w:instrText>
      </w:r>
      <w:r w:rsidRPr="000A0C4D">
        <w:rPr>
          <w:rFonts w:ascii="Palatino Linotype" w:hAnsi="Palatino Linotype"/>
          <w:sz w:val="20"/>
          <w:szCs w:val="20"/>
        </w:rPr>
        <w:instrText>idance and learning obedience, and general self-efficacy played a partially mediating role, with an adequate ratio of 59.7% and 26.26%, respectively; family socioeconomic status had a negative and significant effect on learning compliance, and general self</w:instrText>
      </w:r>
      <w:r w:rsidRPr="000A0C4D">
        <w:rPr>
          <w:rFonts w:ascii="Palatino Linotype" w:hAnsi="Palatino Linotype"/>
          <w:sz w:val="20"/>
          <w:szCs w:val="20"/>
        </w:rPr>
        <w:instrText>-efficacy played a partially mediating role, with an adequate ratio of 52.02%. Conclusions: This study provides first-hand empirical data to support studies of learning motivation, learning conformity behavior, and self-efficacy among Chinese university st</w:instrText>
      </w:r>
      <w:r w:rsidRPr="000A0C4D">
        <w:rPr>
          <w:rFonts w:ascii="Palatino Linotype" w:hAnsi="Palatino Linotype"/>
          <w:sz w:val="20"/>
          <w:szCs w:val="20"/>
        </w:rPr>
        <w:instrText>udents. It also provides a theoretical basis for subsequent research on family socioeconomic status and learning conformity.","author":[{"dropping-particle":"","family":"Xiao","given":"Bin","non-dropping-particle":"","parse-names":false,"suffix":""},{"drop</w:instrText>
      </w:r>
      <w:r w:rsidRPr="000A0C4D">
        <w:rPr>
          <w:rFonts w:ascii="Palatino Linotype" w:hAnsi="Palatino Linotype"/>
          <w:sz w:val="20"/>
          <w:szCs w:val="20"/>
        </w:rPr>
        <w:instrText>ping-particle":"","family":"Song","given":"Guandong","non-dropping-particle":"","parse-names":false,"suffix":""}],"container-title":"Sustainability (Switzerland)","id":"ITEM-1","issue":"16","issued":{"date-parts":[["2022"]]},"page":"1-16","title":"The Impa</w:instrText>
      </w:r>
      <w:r w:rsidRPr="000A0C4D">
        <w:rPr>
          <w:rFonts w:ascii="Palatino Linotype" w:hAnsi="Palatino Linotype"/>
          <w:sz w:val="20"/>
          <w:szCs w:val="20"/>
        </w:rPr>
        <w:instrText>ct of Family Socioeconomic Status on Learning Conformity among Chinese University Students: Self-Efficacy as Mediating Factor","type":"article-journal","volume":"14"},"uris":["http://www.mendeley.com/documents/?uuid=90c9979b-17ce-4e58-ba6b-9d87a54ab02b"]}]</w:instrText>
      </w:r>
      <w:r w:rsidRPr="000A0C4D">
        <w:rPr>
          <w:rFonts w:ascii="Palatino Linotype" w:hAnsi="Palatino Linotype"/>
          <w:sz w:val="20"/>
          <w:szCs w:val="20"/>
        </w:rPr>
        <w:instrText>,"mendeley":{"formattedCitation":"(Xiao &amp; Song, 2022)","manualFormatting":"Xiao &amp; Song, 2022)","plainTextFormattedCitation":"(Xiao &amp; Song, 2022)","previouslyFormattedCitation":"(Xiao &amp; Song, 2022)"},"properties":{"noteIndex":0},"schema":"https://github.com</w:instrText>
      </w:r>
      <w:r w:rsidRPr="000A0C4D">
        <w:rPr>
          <w:rFonts w:ascii="Palatino Linotype" w:hAnsi="Palatino Linotype"/>
          <w:sz w:val="20"/>
          <w:szCs w:val="20"/>
        </w:rPr>
        <w:instrText>/citation-style-language/schema/raw/master/csl-citation.json"}</w:instrText>
      </w:r>
      <w:r w:rsidRPr="000A0C4D">
        <w:rPr>
          <w:rFonts w:ascii="Palatino Linotype" w:hAnsi="Palatino Linotype"/>
          <w:sz w:val="20"/>
          <w:szCs w:val="20"/>
        </w:rPr>
        <w:fldChar w:fldCharType="separate"/>
      </w:r>
      <w:r w:rsidRPr="000A0C4D">
        <w:rPr>
          <w:rFonts w:ascii="Palatino Linotype" w:hAnsi="Palatino Linotype"/>
          <w:noProof/>
          <w:sz w:val="20"/>
          <w:szCs w:val="20"/>
        </w:rPr>
        <w:t>Xiao &amp; Song, 2022)</w:t>
      </w:r>
      <w:r w:rsidRPr="000A0C4D">
        <w:rPr>
          <w:rFonts w:ascii="Palatino Linotype" w:hAnsi="Palatino Linotype"/>
          <w:sz w:val="20"/>
          <w:szCs w:val="20"/>
        </w:rPr>
        <w:fldChar w:fldCharType="end"/>
      </w:r>
      <w:r w:rsidRPr="000A0C4D">
        <w:rPr>
          <w:rFonts w:ascii="Palatino Linotype" w:hAnsi="Palatino Linotype"/>
          <w:sz w:val="20"/>
          <w:szCs w:val="20"/>
        </w:rPr>
        <w:t>. Thus, this study also proves that many students have difficulty understanding the material and interacting with teachers and other friends during blended learning. It make</w:t>
      </w:r>
      <w:r w:rsidRPr="000A0C4D">
        <w:rPr>
          <w:rFonts w:ascii="Palatino Linotype" w:hAnsi="Palatino Linotype"/>
          <w:sz w:val="20"/>
          <w:szCs w:val="20"/>
        </w:rPr>
        <w:t>s students reluctant to learn and have no enthusiasm for learning, so they only remember other activities</w:t>
      </w:r>
      <w:r w:rsidR="00E21A05" w:rsidRPr="000A0C4D">
        <w:rPr>
          <w:rFonts w:ascii="Palatino Linotype" w:hAnsi="Palatino Linotype"/>
          <w:sz w:val="20"/>
          <w:szCs w:val="20"/>
        </w:rPr>
        <w:t xml:space="preserve"> at home </w:t>
      </w:r>
      <w:r w:rsidRPr="000A0C4D">
        <w:rPr>
          <w:rFonts w:ascii="Palatino Linotype" w:hAnsi="Palatino Linotype"/>
          <w:sz w:val="20"/>
          <w:szCs w:val="20"/>
        </w:rPr>
        <w:fldChar w:fldCharType="begin" w:fldLock="1"/>
      </w:r>
      <w:r w:rsidRPr="000A0C4D">
        <w:rPr>
          <w:rFonts w:ascii="Palatino Linotype" w:hAnsi="Palatino Linotype"/>
          <w:sz w:val="20"/>
          <w:szCs w:val="20"/>
        </w:rPr>
        <w:instrText>ADDIN CSL_CITATION {"citationItems":[{"id":"ITEM-1","itemData":{"DOI":"10.1080/10494820.2018.1542318","ISSN":"17445191","abstract":"This resea</w:instrText>
      </w:r>
      <w:r w:rsidRPr="000A0C4D">
        <w:rPr>
          <w:rFonts w:ascii="Palatino Linotype" w:hAnsi="Palatino Linotype"/>
          <w:sz w:val="20"/>
          <w:szCs w:val="20"/>
        </w:rPr>
        <w:instrText xml:space="preserve">rch was conducted to determine the effectiveness of blended learning on academic achievements, motivation and learner autonomy. The scope of this research is the teaching of English through short stories. A quasi-experimental study was conducted among 116 </w:instrText>
      </w:r>
      <w:r w:rsidRPr="000A0C4D">
        <w:rPr>
          <w:rFonts w:ascii="Palatino Linotype" w:hAnsi="Palatino Linotype"/>
          <w:sz w:val="20"/>
          <w:szCs w:val="20"/>
        </w:rPr>
        <w:instrText>upper secondary students and two different teaching pedagogies were utilised; a blended learning classroom for the experimental groups, and meanwhile conventional learning classroom for the control groups. The data for students’ academic achievement were c</w:instrText>
      </w:r>
      <w:r w:rsidRPr="000A0C4D">
        <w:rPr>
          <w:rFonts w:ascii="Palatino Linotype" w:hAnsi="Palatino Linotype"/>
          <w:sz w:val="20"/>
          <w:szCs w:val="20"/>
        </w:rPr>
        <w:instrText>ollected from a post-test questionnaire, whereas data for motivation and learner autonomy were collected through sets of questionnaires adapted from the previous literature. The differences between the two groups were then analysed using the independent t-</w:instrText>
      </w:r>
      <w:r w:rsidRPr="000A0C4D">
        <w:rPr>
          <w:rFonts w:ascii="Palatino Linotype" w:hAnsi="Palatino Linotype"/>
          <w:sz w:val="20"/>
          <w:szCs w:val="20"/>
        </w:rPr>
        <w:instrText>test. The findings revealed that there was no significant difference in their academic achievements however, there were positive effects on both learner autonomy and students’ motivation constructs in the blended learning compared to the conventional learn</w:instrText>
      </w:r>
      <w:r w:rsidRPr="000A0C4D">
        <w:rPr>
          <w:rFonts w:ascii="Palatino Linotype" w:hAnsi="Palatino Linotype"/>
          <w:sz w:val="20"/>
          <w:szCs w:val="20"/>
        </w:rPr>
        <w:instrText>ing. The implication of this study is that blended learning is suitable to be implemented in secondary school English classes as long as there are sufficient monetary, equipment and technical supports.","author":[{"dropping-particle":"","family":"Wong","gi</w:instrText>
      </w:r>
      <w:r w:rsidRPr="000A0C4D">
        <w:rPr>
          <w:rFonts w:ascii="Palatino Linotype" w:hAnsi="Palatino Linotype"/>
          <w:sz w:val="20"/>
          <w:szCs w:val="20"/>
        </w:rPr>
        <w:instrText>ven":"Kung Teck","non-dropping-particle":"","parse-names":false,"suffix":""},{"dropping-particle":"","family":"Hwang","given":"Gwo Jen","non-dropping-particle":"","parse-names":false,"suffix":""},{"dropping-particle":"","family":"Goh","given":"Pauline Swee</w:instrText>
      </w:r>
      <w:r w:rsidRPr="000A0C4D">
        <w:rPr>
          <w:rFonts w:ascii="Palatino Linotype" w:hAnsi="Palatino Linotype"/>
          <w:sz w:val="20"/>
          <w:szCs w:val="20"/>
        </w:rPr>
        <w:instrText xml:space="preserve"> Choo","non-dropping-particle":"","parse-names":false,"suffix":""},{"dropping-particle":"","family":"Mohd Arrif","given":"Siti Khadijah","non-dropping-particle":"","parse-names":false,"suffix":""}],"container-title":"Interactive Learning Environments","id"</w:instrText>
      </w:r>
      <w:r w:rsidRPr="000A0C4D">
        <w:rPr>
          <w:rFonts w:ascii="Palatino Linotype" w:hAnsi="Palatino Linotype"/>
          <w:sz w:val="20"/>
          <w:szCs w:val="20"/>
        </w:rPr>
        <w:instrText>:"ITEM-1","issue":"4","issued":{"date-parts":[["2020"]]},"page":"512-525","title":"Effects of blended learning pedagogical practices on students’ motivation and autonomy for the teaching of short stories in upper secondary English","type":"article-journal"</w:instrText>
      </w:r>
      <w:r w:rsidRPr="000A0C4D">
        <w:rPr>
          <w:rFonts w:ascii="Palatino Linotype" w:hAnsi="Palatino Linotype"/>
          <w:sz w:val="20"/>
          <w:szCs w:val="20"/>
        </w:rPr>
        <w:instrText xml:space="preserve">,"volume":"28"},"uris":["http://www.mendeley.com/documents/?uuid=178e7735-7ef6-4275-813b-44c88ba68c91"]}],"mendeley":{"formattedCitation":"(Wong et al., 2020)","plainTextFormattedCitation":"(Wong et al., 2020)","previouslyFormattedCitation":"(Wong et al., </w:instrText>
      </w:r>
      <w:r w:rsidRPr="000A0C4D">
        <w:rPr>
          <w:rFonts w:ascii="Palatino Linotype" w:hAnsi="Palatino Linotype"/>
          <w:sz w:val="20"/>
          <w:szCs w:val="20"/>
        </w:rPr>
        <w:instrText>2020)"},"properties":{"noteIndex":0},"schema":"https://github.com/citation-style-language/schema/raw/master/csl-citation.json"}</w:instrText>
      </w:r>
      <w:r w:rsidRPr="000A0C4D">
        <w:rPr>
          <w:rFonts w:ascii="Palatino Linotype" w:hAnsi="Palatino Linotype"/>
          <w:sz w:val="20"/>
          <w:szCs w:val="20"/>
        </w:rPr>
        <w:fldChar w:fldCharType="separate"/>
      </w:r>
      <w:r w:rsidRPr="000A0C4D">
        <w:rPr>
          <w:rFonts w:ascii="Palatino Linotype" w:hAnsi="Palatino Linotype"/>
          <w:noProof/>
          <w:sz w:val="20"/>
          <w:szCs w:val="20"/>
        </w:rPr>
        <w:t>(Wong et al., 2020)</w:t>
      </w:r>
      <w:r w:rsidRPr="000A0C4D">
        <w:rPr>
          <w:rFonts w:ascii="Palatino Linotype" w:hAnsi="Palatino Linotype"/>
          <w:sz w:val="20"/>
          <w:szCs w:val="20"/>
        </w:rPr>
        <w:fldChar w:fldCharType="end"/>
      </w:r>
      <w:r w:rsidRPr="000A0C4D">
        <w:rPr>
          <w:rFonts w:ascii="Palatino Linotype" w:hAnsi="Palatino Linotype"/>
          <w:sz w:val="20"/>
          <w:szCs w:val="20"/>
        </w:rPr>
        <w:t>.</w:t>
      </w:r>
      <w:bookmarkStart w:id="2" w:name="_TOC_250003"/>
      <w:bookmarkEnd w:id="2"/>
    </w:p>
    <w:p w14:paraId="6C6593C9" w14:textId="77777777" w:rsidR="00092A09" w:rsidRPr="000A0C4D" w:rsidRDefault="007024BD">
      <w:pPr>
        <w:spacing w:after="0" w:line="240" w:lineRule="auto"/>
        <w:ind w:left="-2" w:firstLineChars="283" w:firstLine="566"/>
        <w:jc w:val="both"/>
        <w:rPr>
          <w:rFonts w:ascii="Palatino Linotype" w:hAnsi="Palatino Linotype"/>
          <w:sz w:val="20"/>
          <w:szCs w:val="20"/>
        </w:rPr>
      </w:pPr>
      <w:r w:rsidRPr="000A0C4D">
        <w:rPr>
          <w:rFonts w:ascii="Palatino Linotype" w:hAnsi="Palatino Linotype"/>
          <w:sz w:val="20"/>
          <w:szCs w:val="20"/>
        </w:rPr>
        <w:lastRenderedPageBreak/>
        <w:t>There is a relationship between student perceptions of the BL learning model and student learning motivat</w:t>
      </w:r>
      <w:r w:rsidRPr="000A0C4D">
        <w:rPr>
          <w:rFonts w:ascii="Palatino Linotype" w:hAnsi="Palatino Linotype"/>
          <w:sz w:val="20"/>
          <w:szCs w:val="20"/>
        </w:rPr>
        <w:t xml:space="preserve">ion, so this is one of the pieces of information that social interactions, such as interactions between teachers and students and students with their peers, have a good impact on their learning progress. </w:t>
      </w:r>
      <w:r w:rsidRPr="000A0C4D">
        <w:rPr>
          <w:rFonts w:ascii="Palatino Linotype" w:hAnsi="Palatino Linotype"/>
          <w:sz w:val="20"/>
          <w:szCs w:val="20"/>
        </w:rPr>
        <w:fldChar w:fldCharType="begin" w:fldLock="1"/>
      </w:r>
      <w:r w:rsidRPr="000A0C4D">
        <w:rPr>
          <w:rFonts w:ascii="Palatino Linotype" w:hAnsi="Palatino Linotype"/>
          <w:sz w:val="20"/>
          <w:szCs w:val="20"/>
        </w:rPr>
        <w:instrText>ADDIN CSL_CITATION {"citationItems":[{"id":"ITEM-1",</w:instrText>
      </w:r>
      <w:r w:rsidRPr="000A0C4D">
        <w:rPr>
          <w:rFonts w:ascii="Palatino Linotype" w:hAnsi="Palatino Linotype"/>
          <w:sz w:val="20"/>
          <w:szCs w:val="20"/>
        </w:rPr>
        <w:instrText>"itemData":{"DOI":"10.1186/s41239-017-0043-4","ISBN":"4123901700","ISSN":"23659440","abstract":"This paper investigates the effectiveness of a blended learning environment through analyzing the relationship between student characteristics/background, desig</w:instrText>
      </w:r>
      <w:r w:rsidRPr="000A0C4D">
        <w:rPr>
          <w:rFonts w:ascii="Palatino Linotype" w:hAnsi="Palatino Linotype"/>
          <w:sz w:val="20"/>
          <w:szCs w:val="20"/>
        </w:rPr>
        <w:instrText>n features and learning outcomes. It is aimed at determining the significant predictors of blended learning effectiveness taking student characteristics/background and design features as independent variables and learning outcomes as dependent variables. A</w:instrText>
      </w:r>
      <w:r w:rsidRPr="000A0C4D">
        <w:rPr>
          <w:rFonts w:ascii="Palatino Linotype" w:hAnsi="Palatino Linotype"/>
          <w:sz w:val="20"/>
          <w:szCs w:val="20"/>
        </w:rPr>
        <w:instrText xml:space="preserve"> survey was administered to 238 respondents to gather data on student characteristics/background, design features and learning outcomes. The final semester evaluation results were used as a measure for performance as an outcome. We applied the online self </w:instrText>
      </w:r>
      <w:r w:rsidRPr="000A0C4D">
        <w:rPr>
          <w:rFonts w:ascii="Palatino Linotype" w:hAnsi="Palatino Linotype"/>
          <w:sz w:val="20"/>
          <w:szCs w:val="20"/>
        </w:rPr>
        <w:instrText xml:space="preserve">regulatory learning questionnaire for data on learner self regulation, the intrinsic motivation inventory for data on intrinsic motivation and other self-developed instruments for measuring the other constructs. Multiple regression analysis results showed </w:instrText>
      </w:r>
      <w:r w:rsidRPr="000A0C4D">
        <w:rPr>
          <w:rFonts w:ascii="Palatino Linotype" w:hAnsi="Palatino Linotype"/>
          <w:sz w:val="20"/>
          <w:szCs w:val="20"/>
        </w:rPr>
        <w:instrText>that blended learning design features (technology quality, online tools and face-to-face support) and student characteristics (attitudes and self-regulation) predicted student satisfaction as an outcome. The results indicate that some of the student charac</w:instrText>
      </w:r>
      <w:r w:rsidRPr="000A0C4D">
        <w:rPr>
          <w:rFonts w:ascii="Palatino Linotype" w:hAnsi="Palatino Linotype"/>
          <w:sz w:val="20"/>
          <w:szCs w:val="20"/>
        </w:rPr>
        <w:instrText>teristics/backgrounds and design features are significant predictors for student learning outcomes in blended learning.","author":[{"dropping-particle":"","family":"Kintu","given":"Mugenyi Justice","non-dropping-particle":"","parse-names":false,"suffix":""</w:instrText>
      </w:r>
      <w:r w:rsidRPr="000A0C4D">
        <w:rPr>
          <w:rFonts w:ascii="Palatino Linotype" w:hAnsi="Palatino Linotype"/>
          <w:sz w:val="20"/>
          <w:szCs w:val="20"/>
        </w:rPr>
        <w:instrText>},{"dropping-particle":"","family":"Zhu","given":"Chang","non-dropping-particle":"","parse-names":false,"suffix":""},{"dropping-particle":"","family":"Kagambe","given":"Edmond","non-dropping-particle":"","parse-names":false,"suffix":""}],"container-title":</w:instrText>
      </w:r>
      <w:r w:rsidRPr="000A0C4D">
        <w:rPr>
          <w:rFonts w:ascii="Palatino Linotype" w:hAnsi="Palatino Linotype"/>
          <w:sz w:val="20"/>
          <w:szCs w:val="20"/>
        </w:rPr>
        <w:instrText>"International Journal of Educational Technology in Higher Education","id":"ITEM-1","issue":"1","issued":{"date-parts":[["2017"]]},"page":"1-20","publisher":"International Journal of Educational Technology in Higher Education","title":"Blended learning eff</w:instrText>
      </w:r>
      <w:r w:rsidRPr="000A0C4D">
        <w:rPr>
          <w:rFonts w:ascii="Palatino Linotype" w:hAnsi="Palatino Linotype"/>
          <w:sz w:val="20"/>
          <w:szCs w:val="20"/>
        </w:rPr>
        <w:instrText>ectiveness: the relationship between student characteristics, design features and outcomes","type":"article-journal","volume":"14"},"uris":["http://www.mendeley.com/documents/?uuid=e3b76007-f01a-4801-b29b-128e807bbebc"]}],"mendeley":{"formattedCitation":"(</w:instrText>
      </w:r>
      <w:r w:rsidRPr="000A0C4D">
        <w:rPr>
          <w:rFonts w:ascii="Palatino Linotype" w:hAnsi="Palatino Linotype"/>
          <w:sz w:val="20"/>
          <w:szCs w:val="20"/>
        </w:rPr>
        <w:instrText>Kintu et al., 2017)","plainTextFormattedCitation":"(Kintu et al., 2017)","previouslyFormattedCitation":"(Kintu et al., 2017)"},"properties":{"noteIndex":0},"schema":"https://github.com/citation-style-language/schema/raw/master/csl-citation.json"}</w:instrText>
      </w:r>
      <w:r w:rsidRPr="000A0C4D">
        <w:rPr>
          <w:rFonts w:ascii="Palatino Linotype" w:hAnsi="Palatino Linotype"/>
          <w:sz w:val="20"/>
          <w:szCs w:val="20"/>
        </w:rPr>
        <w:fldChar w:fldCharType="separate"/>
      </w:r>
      <w:proofErr w:type="gramStart"/>
      <w:r w:rsidRPr="000A0C4D">
        <w:rPr>
          <w:rFonts w:ascii="Palatino Linotype" w:hAnsi="Palatino Linotype"/>
          <w:noProof/>
          <w:sz w:val="20"/>
          <w:szCs w:val="20"/>
        </w:rPr>
        <w:t xml:space="preserve">(Kintu et </w:t>
      </w:r>
      <w:r w:rsidRPr="000A0C4D">
        <w:rPr>
          <w:rFonts w:ascii="Palatino Linotype" w:hAnsi="Palatino Linotype"/>
          <w:noProof/>
          <w:sz w:val="20"/>
          <w:szCs w:val="20"/>
        </w:rPr>
        <w:t>al., 2017)</w:t>
      </w:r>
      <w:r w:rsidRPr="000A0C4D">
        <w:rPr>
          <w:rFonts w:ascii="Palatino Linotype" w:hAnsi="Palatino Linotype"/>
          <w:sz w:val="20"/>
          <w:szCs w:val="20"/>
        </w:rPr>
        <w:fldChar w:fldCharType="end"/>
      </w:r>
      <w:r w:rsidRPr="000A0C4D">
        <w:rPr>
          <w:rFonts w:ascii="Palatino Linotype" w:hAnsi="Palatino Linotype"/>
          <w:sz w:val="20"/>
          <w:szCs w:val="20"/>
        </w:rPr>
        <w:t>.</w:t>
      </w:r>
      <w:proofErr w:type="gramEnd"/>
      <w:r w:rsidRPr="000A0C4D">
        <w:rPr>
          <w:rFonts w:ascii="Palatino Linotype" w:hAnsi="Palatino Linotype"/>
          <w:sz w:val="20"/>
          <w:szCs w:val="20"/>
        </w:rPr>
        <w:t xml:space="preserve"> Teachers and peers are a source of motivation for students to study harder. Every child must desire to look like their friends, for example, smarter or more adept at understanding material and solving problems. Therefore, interacting with te</w:t>
      </w:r>
      <w:r w:rsidRPr="000A0C4D">
        <w:rPr>
          <w:rFonts w:ascii="Palatino Linotype" w:hAnsi="Palatino Linotype"/>
          <w:sz w:val="20"/>
          <w:szCs w:val="20"/>
        </w:rPr>
        <w:t xml:space="preserve">achers and peers is one of the sources of students' cognitive development factors. </w:t>
      </w:r>
      <w:r w:rsidRPr="000A0C4D">
        <w:rPr>
          <w:rFonts w:ascii="Palatino Linotype" w:hAnsi="Palatino Linotype"/>
          <w:sz w:val="20"/>
          <w:szCs w:val="20"/>
        </w:rPr>
        <w:fldChar w:fldCharType="begin" w:fldLock="1"/>
      </w:r>
      <w:r w:rsidRPr="000A0C4D">
        <w:rPr>
          <w:rFonts w:ascii="Palatino Linotype" w:hAnsi="Palatino Linotype"/>
          <w:sz w:val="20"/>
          <w:szCs w:val="20"/>
        </w:rPr>
        <w:instrText>ADDIN CSL_CITATION {"citationItems":[{"id":"ITEM-1","itemData":{"author":[{"dropping-particle":"","family":"Ibrahim","given":"Mohammed Mansur","non-dropping-particle":"","pa</w:instrText>
      </w:r>
      <w:r w:rsidRPr="000A0C4D">
        <w:rPr>
          <w:rFonts w:ascii="Palatino Linotype" w:hAnsi="Palatino Linotype"/>
          <w:sz w:val="20"/>
          <w:szCs w:val="20"/>
        </w:rPr>
        <w:instrText>rse-names":false,"suffix":""},{"dropping-particle":"","family":"Nat","given":"Muesser","non-dropping-particle":"","parse-names":false,"suffix":""}],"id":"ITEM-1","issued":{"date-parts":[["2019"]]},"publisher":"International Journal of Educational Technolog</w:instrText>
      </w:r>
      <w:r w:rsidRPr="000A0C4D">
        <w:rPr>
          <w:rFonts w:ascii="Palatino Linotype" w:hAnsi="Palatino Linotype"/>
          <w:sz w:val="20"/>
          <w:szCs w:val="20"/>
        </w:rPr>
        <w:instrText>y in Higher Education","title":"Blended learning motivation model for instructors in higher education institutions","type":"article-journal"},"uris":["http://www.mendeley.com/documents/?uuid=679474c8-ef05-43ba-8fec-93185dd70b83"]}],"mendeley":{"formattedCi</w:instrText>
      </w:r>
      <w:r w:rsidRPr="000A0C4D">
        <w:rPr>
          <w:rFonts w:ascii="Palatino Linotype" w:hAnsi="Palatino Linotype"/>
          <w:sz w:val="20"/>
          <w:szCs w:val="20"/>
        </w:rPr>
        <w:instrText>tation":"(Ibrahim &amp; Nat, 2019)","plainTextFormattedCitation":"(Ibrahim &amp; Nat, 2019)","previouslyFormattedCitation":"(Ibrahim &amp; Nat, 2019)"},"properties":{"noteIndex":0},"schema":"https://github.com/citation-style-language/schema/raw/master/csl-citation.jso</w:instrText>
      </w:r>
      <w:r w:rsidRPr="000A0C4D">
        <w:rPr>
          <w:rFonts w:ascii="Palatino Linotype" w:hAnsi="Palatino Linotype"/>
          <w:sz w:val="20"/>
          <w:szCs w:val="20"/>
        </w:rPr>
        <w:instrText>n"}</w:instrText>
      </w:r>
      <w:r w:rsidRPr="000A0C4D">
        <w:rPr>
          <w:rFonts w:ascii="Palatino Linotype" w:hAnsi="Palatino Linotype"/>
          <w:sz w:val="20"/>
          <w:szCs w:val="20"/>
        </w:rPr>
        <w:fldChar w:fldCharType="separate"/>
      </w:r>
      <w:proofErr w:type="gramStart"/>
      <w:r w:rsidRPr="000A0C4D">
        <w:rPr>
          <w:rFonts w:ascii="Palatino Linotype" w:hAnsi="Palatino Linotype"/>
          <w:noProof/>
          <w:sz w:val="20"/>
          <w:szCs w:val="20"/>
        </w:rPr>
        <w:t>(Ibrahim &amp; Nat, 2019)</w:t>
      </w:r>
      <w:r w:rsidRPr="000A0C4D">
        <w:rPr>
          <w:rFonts w:ascii="Palatino Linotype" w:hAnsi="Palatino Linotype"/>
          <w:sz w:val="20"/>
          <w:szCs w:val="20"/>
        </w:rPr>
        <w:fldChar w:fldCharType="end"/>
      </w:r>
      <w:r w:rsidRPr="000A0C4D">
        <w:rPr>
          <w:rFonts w:ascii="Palatino Linotype" w:hAnsi="Palatino Linotype"/>
          <w:sz w:val="20"/>
          <w:szCs w:val="20"/>
        </w:rPr>
        <w:t>.</w:t>
      </w:r>
      <w:proofErr w:type="gramEnd"/>
      <w:r w:rsidRPr="000A0C4D">
        <w:rPr>
          <w:rFonts w:ascii="Palatino Linotype" w:hAnsi="Palatino Linotype"/>
          <w:sz w:val="20"/>
          <w:szCs w:val="20"/>
        </w:rPr>
        <w:t xml:space="preserve"> </w:t>
      </w:r>
    </w:p>
    <w:p w14:paraId="0FE385B3" w14:textId="77777777" w:rsidR="0058178B" w:rsidRPr="000A0C4D" w:rsidRDefault="0058178B" w:rsidP="00030B37">
      <w:pPr>
        <w:jc w:val="both"/>
        <w:rPr>
          <w:rFonts w:ascii="Cambria" w:eastAsia="Times New Roman" w:hAnsi="Cambria" w:cs="Cambria"/>
          <w:sz w:val="20"/>
          <w:szCs w:val="20"/>
        </w:rPr>
      </w:pPr>
    </w:p>
    <w:p w14:paraId="268CEB49" w14:textId="77777777" w:rsidR="00092A09" w:rsidRPr="000A0C4D" w:rsidRDefault="007024BD">
      <w:pPr>
        <w:pStyle w:val="Alishlah21heading1"/>
        <w:rPr>
          <w:rFonts w:eastAsia="Times New Roman"/>
        </w:rPr>
      </w:pPr>
      <w:r w:rsidRPr="000A0C4D">
        <w:rPr>
          <w:rFonts w:eastAsia="Times New Roman"/>
        </w:rPr>
        <w:t xml:space="preserve">CONCLUSION </w:t>
      </w:r>
    </w:p>
    <w:p w14:paraId="072B1F66" w14:textId="77777777" w:rsidR="00092A09" w:rsidRPr="000A0C4D" w:rsidRDefault="007024BD">
      <w:pPr>
        <w:pStyle w:val="Alishlah31text"/>
      </w:pPr>
      <w:r w:rsidRPr="000A0C4D">
        <w:rPr>
          <w:szCs w:val="20"/>
          <w:lang w:val="id-ID"/>
        </w:rPr>
        <w:t>Thus, this study also proves that many students need help understanding the material and interacting with teachers and other friends during bl</w:t>
      </w:r>
      <w:r w:rsidR="00E21A05" w:rsidRPr="000A0C4D">
        <w:rPr>
          <w:szCs w:val="20"/>
        </w:rPr>
        <w:t>e</w:t>
      </w:r>
      <w:r w:rsidRPr="000A0C4D">
        <w:rPr>
          <w:szCs w:val="20"/>
          <w:lang w:val="id-ID"/>
        </w:rPr>
        <w:t xml:space="preserve">nded learning. Therefore, it makes students reluctant to learn and </w:t>
      </w:r>
      <w:r w:rsidRPr="000A0C4D">
        <w:rPr>
          <w:szCs w:val="20"/>
          <w:lang w:val="id-ID"/>
        </w:rPr>
        <w:t>have no enthusiasm for learning, so they only remember other activities</w:t>
      </w:r>
      <w:r w:rsidR="00E21A05" w:rsidRPr="000A0C4D">
        <w:rPr>
          <w:szCs w:val="20"/>
          <w:lang w:val="id-ID"/>
        </w:rPr>
        <w:t xml:space="preserve"> at home</w:t>
      </w:r>
      <w:r w:rsidRPr="000A0C4D">
        <w:rPr>
          <w:szCs w:val="20"/>
          <w:lang w:val="id-ID"/>
        </w:rPr>
        <w:t xml:space="preserve">. </w:t>
      </w:r>
      <w:r w:rsidR="00E21A05" w:rsidRPr="000A0C4D">
        <w:rPr>
          <w:szCs w:val="20"/>
        </w:rPr>
        <w:t xml:space="preserve">Data of tests given to students </w:t>
      </w:r>
      <w:r w:rsidR="0091506C" w:rsidRPr="000A0C4D">
        <w:rPr>
          <w:szCs w:val="20"/>
        </w:rPr>
        <w:t xml:space="preserve">sometimes do not represent </w:t>
      </w:r>
      <w:r w:rsidRPr="000A0C4D">
        <w:rPr>
          <w:szCs w:val="20"/>
        </w:rPr>
        <w:t>the actual learning outcomes because</w:t>
      </w:r>
      <w:r w:rsidR="0091506C" w:rsidRPr="000A0C4D">
        <w:rPr>
          <w:szCs w:val="20"/>
        </w:rPr>
        <w:t xml:space="preserve"> </w:t>
      </w:r>
      <w:r w:rsidRPr="000A0C4D">
        <w:rPr>
          <w:szCs w:val="20"/>
        </w:rPr>
        <w:t>students still depend on or are assisted by parents in completing the assignmen</w:t>
      </w:r>
      <w:r w:rsidRPr="000A0C4D">
        <w:rPr>
          <w:szCs w:val="20"/>
        </w:rPr>
        <w:t>ts given</w:t>
      </w:r>
      <w:r w:rsidR="0091506C" w:rsidRPr="000A0C4D">
        <w:rPr>
          <w:szCs w:val="20"/>
        </w:rPr>
        <w:t xml:space="preserve"> in the application of BL learning</w:t>
      </w:r>
      <w:r w:rsidRPr="000A0C4D">
        <w:rPr>
          <w:szCs w:val="20"/>
        </w:rPr>
        <w:t>. As</w:t>
      </w:r>
      <w:r w:rsidR="0091506C" w:rsidRPr="000A0C4D">
        <w:rPr>
          <w:szCs w:val="20"/>
        </w:rPr>
        <w:t xml:space="preserve"> </w:t>
      </w:r>
      <w:r w:rsidRPr="000A0C4D">
        <w:rPr>
          <w:szCs w:val="20"/>
        </w:rPr>
        <w:t>suggestion</w:t>
      </w:r>
      <w:r w:rsidR="0091506C" w:rsidRPr="000A0C4D">
        <w:rPr>
          <w:szCs w:val="20"/>
        </w:rPr>
        <w:t xml:space="preserve">, </w:t>
      </w:r>
      <w:r w:rsidRPr="000A0C4D">
        <w:rPr>
          <w:szCs w:val="20"/>
        </w:rPr>
        <w:t xml:space="preserve">teachers </w:t>
      </w:r>
      <w:r w:rsidR="0091506C" w:rsidRPr="000A0C4D">
        <w:rPr>
          <w:szCs w:val="20"/>
        </w:rPr>
        <w:t xml:space="preserve">need to </w:t>
      </w:r>
      <w:r w:rsidRPr="000A0C4D">
        <w:rPr>
          <w:szCs w:val="20"/>
        </w:rPr>
        <w:t>provide learning motivation every time before learning takes place</w:t>
      </w:r>
      <w:r w:rsidR="0091506C" w:rsidRPr="000A0C4D">
        <w:rPr>
          <w:szCs w:val="20"/>
        </w:rPr>
        <w:t xml:space="preserve"> </w:t>
      </w:r>
      <w:r w:rsidRPr="000A0C4D">
        <w:rPr>
          <w:szCs w:val="20"/>
        </w:rPr>
        <w:t xml:space="preserve">to make students enthusiastic about following their learning and can maintain good communication with parents. </w:t>
      </w:r>
      <w:r w:rsidRPr="000A0C4D">
        <w:rPr>
          <w:spacing w:val="-4"/>
          <w:szCs w:val="20"/>
        </w:rPr>
        <w:t>St</w:t>
      </w:r>
      <w:r w:rsidRPr="000A0C4D">
        <w:rPr>
          <w:spacing w:val="-4"/>
          <w:szCs w:val="20"/>
        </w:rPr>
        <w:t xml:space="preserve">udents </w:t>
      </w:r>
      <w:r w:rsidRPr="000A0C4D">
        <w:rPr>
          <w:szCs w:val="20"/>
        </w:rPr>
        <w:t>must be more active in learning and try to nurture themselves to be more motivated internally and externally.</w:t>
      </w:r>
    </w:p>
    <w:p w14:paraId="1C60314C" w14:textId="77777777" w:rsidR="000A7A13" w:rsidRPr="000A0C4D" w:rsidRDefault="000A7A13" w:rsidP="000A7A13">
      <w:pPr>
        <w:ind w:hanging="2"/>
        <w:jc w:val="both"/>
        <w:rPr>
          <w:rFonts w:ascii="Cambria" w:eastAsia="Times New Roman" w:hAnsi="Cambria" w:cs="Cambria"/>
          <w:sz w:val="20"/>
          <w:szCs w:val="20"/>
        </w:rPr>
      </w:pPr>
    </w:p>
    <w:p w14:paraId="314FEEA7" w14:textId="77777777" w:rsidR="00092A09" w:rsidRPr="000A0C4D" w:rsidRDefault="007024BD">
      <w:pPr>
        <w:pStyle w:val="Alishlah21heading1"/>
        <w:numPr>
          <w:ilvl w:val="0"/>
          <w:numId w:val="0"/>
        </w:numPr>
        <w:rPr>
          <w:rFonts w:eastAsia="Times New Roman"/>
        </w:rPr>
      </w:pPr>
      <w:r w:rsidRPr="000A0C4D">
        <w:rPr>
          <w:rFonts w:eastAsia="Times New Roman"/>
        </w:rPr>
        <w:t>REFERENCES</w:t>
      </w:r>
    </w:p>
    <w:p w14:paraId="62833F6D"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bCs/>
          <w:sz w:val="20"/>
          <w:szCs w:val="20"/>
        </w:rPr>
        <w:fldChar w:fldCharType="begin" w:fldLock="1"/>
      </w:r>
      <w:r w:rsidRPr="000A0C4D">
        <w:rPr>
          <w:rFonts w:ascii="Palatino Linotype" w:hAnsi="Palatino Linotype"/>
          <w:bCs/>
          <w:sz w:val="20"/>
          <w:szCs w:val="20"/>
        </w:rPr>
        <w:instrText xml:space="preserve">ADDIN Mendeley Bibliography CSL_BIBLIOGRAPHY </w:instrText>
      </w:r>
      <w:r w:rsidRPr="000A0C4D">
        <w:rPr>
          <w:rFonts w:ascii="Palatino Linotype" w:hAnsi="Palatino Linotype"/>
          <w:bCs/>
          <w:sz w:val="20"/>
          <w:szCs w:val="20"/>
        </w:rPr>
        <w:fldChar w:fldCharType="separate"/>
      </w:r>
      <w:r w:rsidRPr="000A0C4D">
        <w:rPr>
          <w:rFonts w:ascii="Palatino Linotype" w:hAnsi="Palatino Linotype"/>
          <w:noProof/>
          <w:sz w:val="20"/>
          <w:szCs w:val="20"/>
        </w:rPr>
        <w:t xml:space="preserve">Appova, A., &amp; Arbaugh, F. (2018). Teachers' motivation to learn: implications for </w:t>
      </w:r>
      <w:r w:rsidRPr="000A0C4D">
        <w:rPr>
          <w:rFonts w:ascii="Palatino Linotype" w:hAnsi="Palatino Linotype"/>
          <w:noProof/>
          <w:sz w:val="20"/>
          <w:szCs w:val="20"/>
        </w:rPr>
        <w:t xml:space="preserve">supporting professional growth. </w:t>
      </w:r>
      <w:r w:rsidRPr="000A0C4D">
        <w:rPr>
          <w:rFonts w:ascii="Palatino Linotype" w:hAnsi="Palatino Linotype"/>
          <w:i/>
          <w:iCs/>
          <w:noProof/>
          <w:sz w:val="20"/>
          <w:szCs w:val="20"/>
        </w:rPr>
        <w:t>Professional Development in Education</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44</w:t>
      </w:r>
      <w:r w:rsidRPr="000A0C4D">
        <w:rPr>
          <w:rFonts w:ascii="Palatino Linotype" w:hAnsi="Palatino Linotype"/>
          <w:noProof/>
          <w:sz w:val="20"/>
          <w:szCs w:val="20"/>
        </w:rPr>
        <w:t>(1), 5–21. https://doi.org/10.1080/19415257.2017.1280524</w:t>
      </w:r>
    </w:p>
    <w:p w14:paraId="602532BB"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Batlolona, J. R., &amp;</w:t>
      </w:r>
      <w:r w:rsidRPr="000A0C4D">
        <w:rPr>
          <w:rFonts w:ascii="Palatino Linotype" w:hAnsi="Palatino Linotype"/>
          <w:noProof/>
          <w:sz w:val="20"/>
          <w:szCs w:val="20"/>
        </w:rPr>
        <w:t xml:space="preserve"> Jamaludin, J. (2022). Physics problem-solving skills with IBL-STEMWeb: students on small islands in Maluku. </w:t>
      </w:r>
      <w:r w:rsidRPr="000A0C4D">
        <w:rPr>
          <w:rFonts w:ascii="Palatino Linotype" w:hAnsi="Palatino Linotype"/>
          <w:i/>
          <w:iCs/>
          <w:noProof/>
          <w:sz w:val="20"/>
          <w:szCs w:val="20"/>
        </w:rPr>
        <w:t>Journal of Science Education Research</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8</w:t>
      </w:r>
      <w:r w:rsidRPr="000A0C4D">
        <w:rPr>
          <w:rFonts w:ascii="Palatino Linotype" w:hAnsi="Palatino Linotype"/>
          <w:noProof/>
          <w:sz w:val="20"/>
          <w:szCs w:val="20"/>
        </w:rPr>
        <w:t>(2), 592-598. https://doi.org/10.29303/jppipa.v8i2.1344</w:t>
      </w:r>
    </w:p>
    <w:p w14:paraId="0E180CA0"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Bektas-Cetinkaya, Y., &amp; Oruc, N. (2011). Effects of</w:t>
      </w:r>
      <w:r w:rsidRPr="000A0C4D">
        <w:rPr>
          <w:rFonts w:ascii="Palatino Linotype" w:hAnsi="Palatino Linotype"/>
          <w:noProof/>
          <w:sz w:val="20"/>
          <w:szCs w:val="20"/>
        </w:rPr>
        <w:t xml:space="preserve"> socioeconomic status and physical learning environment on university students' motivation. </w:t>
      </w:r>
      <w:r w:rsidRPr="000A0C4D">
        <w:rPr>
          <w:rFonts w:ascii="Palatino Linotype" w:hAnsi="Palatino Linotype"/>
          <w:i/>
          <w:iCs/>
          <w:noProof/>
          <w:sz w:val="20"/>
          <w:szCs w:val="20"/>
        </w:rPr>
        <w:t>European Journal of Social Sciences</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21</w:t>
      </w:r>
      <w:r w:rsidRPr="000A0C4D">
        <w:rPr>
          <w:rFonts w:ascii="Palatino Linotype" w:hAnsi="Palatino Linotype"/>
          <w:noProof/>
          <w:sz w:val="20"/>
          <w:szCs w:val="20"/>
        </w:rPr>
        <w:t>(1), 71-79.</w:t>
      </w:r>
    </w:p>
    <w:p w14:paraId="4BA8FDB0"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Coman, C., Țîru, L. G., Meseșan-Schmitz, L., Stanciu, C., &amp; Bularca, M. C. (2020). Online teaching and learning i</w:t>
      </w:r>
      <w:r w:rsidRPr="000A0C4D">
        <w:rPr>
          <w:rFonts w:ascii="Palatino Linotype" w:hAnsi="Palatino Linotype"/>
          <w:noProof/>
          <w:sz w:val="20"/>
          <w:szCs w:val="20"/>
        </w:rPr>
        <w:t xml:space="preserve">n higher education during the coronavirus pandemic: Students' perspective. </w:t>
      </w:r>
      <w:r w:rsidRPr="000A0C4D">
        <w:rPr>
          <w:rFonts w:ascii="Palatino Linotype" w:hAnsi="Palatino Linotype"/>
          <w:i/>
          <w:iCs/>
          <w:noProof/>
          <w:sz w:val="20"/>
          <w:szCs w:val="20"/>
        </w:rPr>
        <w:t>Sustainability (Switzerland)</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12</w:t>
      </w:r>
      <w:r w:rsidRPr="000A0C4D">
        <w:rPr>
          <w:rFonts w:ascii="Palatino Linotype" w:hAnsi="Palatino Linotype"/>
          <w:noProof/>
          <w:sz w:val="20"/>
          <w:szCs w:val="20"/>
        </w:rPr>
        <w:t>(24), 1-22. https://doi.org/10.3390/su122410367</w:t>
      </w:r>
    </w:p>
    <w:p w14:paraId="2D191F2E"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 xml:space="preserve">Fenech, R. (2021). Blended learning: honoring students' psychological contract. </w:t>
      </w:r>
      <w:r w:rsidRPr="000A0C4D">
        <w:rPr>
          <w:rFonts w:ascii="Palatino Linotype" w:hAnsi="Palatino Linotype"/>
          <w:i/>
          <w:iCs/>
          <w:noProof/>
          <w:sz w:val="20"/>
          <w:szCs w:val="20"/>
        </w:rPr>
        <w:t>Cogent Education</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8</w:t>
      </w:r>
      <w:r w:rsidRPr="000A0C4D">
        <w:rPr>
          <w:rFonts w:ascii="Palatino Linotype" w:hAnsi="Palatino Linotype"/>
          <w:noProof/>
          <w:sz w:val="20"/>
          <w:szCs w:val="20"/>
        </w:rPr>
        <w:t>(1</w:t>
      </w:r>
      <w:r w:rsidRPr="000A0C4D">
        <w:rPr>
          <w:rFonts w:ascii="Palatino Linotype" w:hAnsi="Palatino Linotype"/>
          <w:noProof/>
          <w:sz w:val="20"/>
          <w:szCs w:val="20"/>
        </w:rPr>
        <w:t>), 1–13. https://doi.org/10.1080/2331186X.2021.1914286</w:t>
      </w:r>
    </w:p>
    <w:p w14:paraId="37CE042C"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Halimah, L., Arifin, R. R. M., Yuliariatiningsih, M. S., Abdillah, F., &amp; Sutini, A. (2020). Storytelling through "Wayang Golek" puppet show: Practical ways in incorporating character education in early</w:t>
      </w:r>
      <w:r w:rsidRPr="000A0C4D">
        <w:rPr>
          <w:rFonts w:ascii="Palatino Linotype" w:hAnsi="Palatino Linotype"/>
          <w:noProof/>
          <w:sz w:val="20"/>
          <w:szCs w:val="20"/>
        </w:rPr>
        <w:t xml:space="preserve"> childhood. </w:t>
      </w:r>
      <w:r w:rsidRPr="000A0C4D">
        <w:rPr>
          <w:rFonts w:ascii="Palatino Linotype" w:hAnsi="Palatino Linotype"/>
          <w:i/>
          <w:iCs/>
          <w:noProof/>
          <w:sz w:val="20"/>
          <w:szCs w:val="20"/>
        </w:rPr>
        <w:t>Cogent Education</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7</w:t>
      </w:r>
      <w:r w:rsidRPr="000A0C4D">
        <w:rPr>
          <w:rFonts w:ascii="Palatino Linotype" w:hAnsi="Palatino Linotype"/>
          <w:noProof/>
          <w:sz w:val="20"/>
          <w:szCs w:val="20"/>
        </w:rPr>
        <w:t>(1), 1-12. https://doi.org/10.1080/2331186X.2020.1794495</w:t>
      </w:r>
    </w:p>
    <w:p w14:paraId="7582EB5D"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 xml:space="preserve">Hazelkorn, E., &amp; Locke, W. (2021). Blended learning is dead, long live blended learning! </w:t>
      </w:r>
      <w:r w:rsidRPr="000A0C4D">
        <w:rPr>
          <w:rFonts w:ascii="Palatino Linotype" w:hAnsi="Palatino Linotype"/>
          <w:i/>
          <w:iCs/>
          <w:noProof/>
          <w:sz w:val="20"/>
          <w:szCs w:val="20"/>
        </w:rPr>
        <w:t>Policy Reviews in Higher Education</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5</w:t>
      </w:r>
      <w:r w:rsidRPr="000A0C4D">
        <w:rPr>
          <w:rFonts w:ascii="Palatino Linotype" w:hAnsi="Palatino Linotype"/>
          <w:noProof/>
          <w:sz w:val="20"/>
          <w:szCs w:val="20"/>
        </w:rPr>
        <w:t>(1), 1-4. https://doi.org/10.1080/23322969</w:t>
      </w:r>
      <w:r w:rsidRPr="000A0C4D">
        <w:rPr>
          <w:rFonts w:ascii="Palatino Linotype" w:hAnsi="Palatino Linotype"/>
          <w:noProof/>
          <w:sz w:val="20"/>
          <w:szCs w:val="20"/>
        </w:rPr>
        <w:t>.2021.1873348</w:t>
      </w:r>
    </w:p>
    <w:p w14:paraId="3A8C57C1"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 xml:space="preserve">Henri, M., Johnson, M. D., &amp; Nepal, B. (2017). A review of competency-based learning: tools, assessments, and recommendations. </w:t>
      </w:r>
      <w:r w:rsidRPr="000A0C4D">
        <w:rPr>
          <w:rFonts w:ascii="Palatino Linotype" w:hAnsi="Palatino Linotype"/>
          <w:i/>
          <w:iCs/>
          <w:noProof/>
          <w:sz w:val="20"/>
          <w:szCs w:val="20"/>
        </w:rPr>
        <w:t>Journal of Engineering Education</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106</w:t>
      </w:r>
      <w:r w:rsidRPr="000A0C4D">
        <w:rPr>
          <w:rFonts w:ascii="Palatino Linotype" w:hAnsi="Palatino Linotype"/>
          <w:noProof/>
          <w:sz w:val="20"/>
          <w:szCs w:val="20"/>
        </w:rPr>
        <w:t>(4), 607–638. https://doi.org/10.1002/jee.20180</w:t>
      </w:r>
    </w:p>
    <w:p w14:paraId="350F6274"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Herman, C., Gracia, R., Macniv</w:t>
      </w:r>
      <w:r w:rsidRPr="000A0C4D">
        <w:rPr>
          <w:rFonts w:ascii="Palatino Linotype" w:hAnsi="Palatino Linotype"/>
          <w:noProof/>
          <w:sz w:val="20"/>
          <w:szCs w:val="20"/>
        </w:rPr>
        <w:t xml:space="preserve">en, L., Clark, B., &amp; Doyle, G. (2019). Using a blended learning approach to support women returning to STEM. </w:t>
      </w:r>
      <w:r w:rsidRPr="000A0C4D">
        <w:rPr>
          <w:rFonts w:ascii="Palatino Linotype" w:hAnsi="Palatino Linotype"/>
          <w:i/>
          <w:iCs/>
          <w:noProof/>
          <w:sz w:val="20"/>
          <w:szCs w:val="20"/>
        </w:rPr>
        <w:t>Open Learning</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34</w:t>
      </w:r>
      <w:r w:rsidRPr="000A0C4D">
        <w:rPr>
          <w:rFonts w:ascii="Palatino Linotype" w:hAnsi="Palatino Linotype"/>
          <w:noProof/>
          <w:sz w:val="20"/>
          <w:szCs w:val="20"/>
        </w:rPr>
        <w:t>(1), 40–60. https://doi.org/10.1080/02680513.2018.1554475</w:t>
      </w:r>
    </w:p>
    <w:p w14:paraId="2A40BFBA" w14:textId="03FD36DF" w:rsidR="00092A09"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 xml:space="preserve">Ibrahim, M. M., &amp; Nat, M. (2019). </w:t>
      </w:r>
      <w:r w:rsidRPr="00420014">
        <w:rPr>
          <w:rFonts w:ascii="Palatino Linotype" w:hAnsi="Palatino Linotype"/>
          <w:iCs/>
          <w:noProof/>
          <w:sz w:val="20"/>
          <w:szCs w:val="20"/>
        </w:rPr>
        <w:t xml:space="preserve">Blended learning motivation model for </w:t>
      </w:r>
      <w:r w:rsidRPr="00420014">
        <w:rPr>
          <w:rFonts w:ascii="Palatino Linotype" w:hAnsi="Palatino Linotype"/>
          <w:iCs/>
          <w:noProof/>
          <w:sz w:val="20"/>
          <w:szCs w:val="20"/>
        </w:rPr>
        <w:t>instructors in higher education institutions</w:t>
      </w:r>
      <w:r w:rsidRPr="00420014">
        <w:rPr>
          <w:rFonts w:ascii="Palatino Linotype" w:hAnsi="Palatino Linotype"/>
          <w:noProof/>
          <w:sz w:val="20"/>
          <w:szCs w:val="20"/>
        </w:rPr>
        <w:t>.</w:t>
      </w:r>
      <w:r w:rsidR="00420014">
        <w:rPr>
          <w:rFonts w:ascii="Palatino Linotype" w:hAnsi="Palatino Linotype"/>
          <w:noProof/>
          <w:sz w:val="20"/>
          <w:szCs w:val="20"/>
        </w:rPr>
        <w:t xml:space="preserve"> </w:t>
      </w:r>
      <w:r w:rsidR="00420014" w:rsidRPr="00083536">
        <w:rPr>
          <w:rFonts w:ascii="Palatino Linotype" w:hAnsi="Palatino Linotype"/>
          <w:i/>
          <w:noProof/>
          <w:sz w:val="20"/>
          <w:szCs w:val="20"/>
        </w:rPr>
        <w:t>International Journal of Educational Technology in Higher Education</w:t>
      </w:r>
      <w:r w:rsidR="00083536">
        <w:rPr>
          <w:rFonts w:ascii="Palatino Linotype" w:hAnsi="Palatino Linotype"/>
          <w:i/>
          <w:noProof/>
          <w:sz w:val="20"/>
          <w:szCs w:val="20"/>
        </w:rPr>
        <w:t>, 16</w:t>
      </w:r>
      <w:r w:rsidR="00083536">
        <w:rPr>
          <w:rFonts w:ascii="Palatino Linotype" w:hAnsi="Palatino Linotype"/>
          <w:noProof/>
          <w:sz w:val="20"/>
          <w:szCs w:val="20"/>
        </w:rPr>
        <w:t xml:space="preserve">(12), 1-21. </w:t>
      </w:r>
      <w:r w:rsidR="00083536" w:rsidRPr="000A0C4D">
        <w:rPr>
          <w:rFonts w:ascii="Palatino Linotype" w:hAnsi="Palatino Linotype"/>
          <w:noProof/>
          <w:sz w:val="20"/>
          <w:szCs w:val="20"/>
        </w:rPr>
        <w:t>https://doi.org/</w:t>
      </w:r>
      <w:r w:rsidR="00083536" w:rsidRPr="00083536">
        <w:t xml:space="preserve"> </w:t>
      </w:r>
      <w:r w:rsidR="00083536" w:rsidRPr="00083536">
        <w:rPr>
          <w:rFonts w:ascii="Palatino Linotype" w:hAnsi="Palatino Linotype"/>
          <w:noProof/>
          <w:sz w:val="20"/>
          <w:szCs w:val="20"/>
        </w:rPr>
        <w:t>10.1186/s41239-019-0145-2</w:t>
      </w:r>
    </w:p>
    <w:p w14:paraId="6610A072" w14:textId="77777777" w:rsidR="00175AC1" w:rsidRPr="00083536" w:rsidRDefault="00175AC1">
      <w:pPr>
        <w:widowControl w:val="0"/>
        <w:autoSpaceDE w:val="0"/>
        <w:autoSpaceDN w:val="0"/>
        <w:adjustRightInd w:val="0"/>
        <w:spacing w:after="0" w:line="240" w:lineRule="auto"/>
        <w:ind w:left="426" w:hanging="426"/>
        <w:jc w:val="both"/>
        <w:rPr>
          <w:rFonts w:ascii="Palatino Linotype" w:hAnsi="Palatino Linotype"/>
          <w:noProof/>
          <w:sz w:val="20"/>
          <w:szCs w:val="20"/>
        </w:rPr>
      </w:pPr>
    </w:p>
    <w:p w14:paraId="11081645"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lastRenderedPageBreak/>
        <w:t xml:space="preserve">Kintu, M. J., Zhu, C., &amp; Kagambe, E. (2017). Blended learning effectiveness: the relationship between student characteristics, design features, and outcomes. </w:t>
      </w:r>
      <w:r w:rsidRPr="000A0C4D">
        <w:rPr>
          <w:rFonts w:ascii="Palatino Linotype" w:hAnsi="Palatino Linotype"/>
          <w:i/>
          <w:iCs/>
          <w:noProof/>
          <w:sz w:val="20"/>
          <w:szCs w:val="20"/>
        </w:rPr>
        <w:t>International Journal of Educational Technology in H</w:t>
      </w:r>
      <w:r w:rsidRPr="000A0C4D">
        <w:rPr>
          <w:rFonts w:ascii="Palatino Linotype" w:hAnsi="Palatino Linotype"/>
          <w:i/>
          <w:iCs/>
          <w:noProof/>
          <w:sz w:val="20"/>
          <w:szCs w:val="20"/>
        </w:rPr>
        <w:t>igher Education</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14</w:t>
      </w:r>
      <w:r w:rsidRPr="000A0C4D">
        <w:rPr>
          <w:rFonts w:ascii="Palatino Linotype" w:hAnsi="Palatino Linotype"/>
          <w:noProof/>
          <w:sz w:val="20"/>
          <w:szCs w:val="20"/>
        </w:rPr>
        <w:t>(1), 1-20. https://doi.org/10.1186/s41239-017-0043-4</w:t>
      </w:r>
    </w:p>
    <w:p w14:paraId="7E4B046B"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 xml:space="preserve">Leasa, M., Batlolona, J. R., Enriquez, J. J., &amp; Kurnaz, M. A. (2018). Determination of elementary students' learning styles reviewed from gender aspects. </w:t>
      </w:r>
      <w:r w:rsidRPr="000A0C4D">
        <w:rPr>
          <w:rFonts w:ascii="Palatino Linotype" w:hAnsi="Palatino Linotype"/>
          <w:i/>
          <w:iCs/>
          <w:noProof/>
          <w:sz w:val="20"/>
          <w:szCs w:val="20"/>
        </w:rPr>
        <w:t>Journal of Education and Learn</w:t>
      </w:r>
      <w:r w:rsidRPr="000A0C4D">
        <w:rPr>
          <w:rFonts w:ascii="Palatino Linotype" w:hAnsi="Palatino Linotype"/>
          <w:i/>
          <w:iCs/>
          <w:noProof/>
          <w:sz w:val="20"/>
          <w:szCs w:val="20"/>
        </w:rPr>
        <w:t>ing (EduLearn)</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12</w:t>
      </w:r>
      <w:r w:rsidRPr="000A0C4D">
        <w:rPr>
          <w:rFonts w:ascii="Palatino Linotype" w:hAnsi="Palatino Linotype"/>
          <w:noProof/>
          <w:sz w:val="20"/>
          <w:szCs w:val="20"/>
        </w:rPr>
        <w:t>(3), 478-486. https://doi.org/10.11591/edulearn.v12i3.8978</w:t>
      </w:r>
    </w:p>
    <w:p w14:paraId="1EF57549"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 xml:space="preserve">Muskitta, M., Batlolona, J. R., Kesaulya, N., &amp; Manuputty, D. (2023). Analysis of high school students' difficulties in writing scientific papers. </w:t>
      </w:r>
      <w:r w:rsidRPr="000A0C4D">
        <w:rPr>
          <w:rFonts w:ascii="Palatino Linotype" w:hAnsi="Palatino Linotype"/>
          <w:i/>
          <w:iCs/>
          <w:noProof/>
          <w:sz w:val="20"/>
          <w:szCs w:val="20"/>
        </w:rPr>
        <w:t>Journal of Science Education Res</w:t>
      </w:r>
      <w:r w:rsidRPr="000A0C4D">
        <w:rPr>
          <w:rFonts w:ascii="Palatino Linotype" w:hAnsi="Palatino Linotype"/>
          <w:i/>
          <w:iCs/>
          <w:noProof/>
          <w:sz w:val="20"/>
          <w:szCs w:val="20"/>
        </w:rPr>
        <w:t>earch</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9</w:t>
      </w:r>
      <w:r w:rsidRPr="000A0C4D">
        <w:rPr>
          <w:rFonts w:ascii="Palatino Linotype" w:hAnsi="Palatino Linotype"/>
          <w:noProof/>
          <w:sz w:val="20"/>
          <w:szCs w:val="20"/>
        </w:rPr>
        <w:t>(1), 66-73. https://doi.org/10.29303/jppipa.v9i1.2407</w:t>
      </w:r>
    </w:p>
    <w:p w14:paraId="49A12119"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 xml:space="preserve">Nancu, D., Sima, V., &amp; Gheorghe, I. G. (2020). Influences of the industry 4. 0 revolutions on the human capital development and consumer behavior: a systematic review. </w:t>
      </w:r>
      <w:r w:rsidRPr="000A0C4D">
        <w:rPr>
          <w:rFonts w:ascii="Palatino Linotype" w:hAnsi="Palatino Linotype"/>
          <w:i/>
          <w:iCs/>
          <w:noProof/>
          <w:sz w:val="20"/>
          <w:szCs w:val="20"/>
        </w:rPr>
        <w:t>Sustainability (Switzerlan</w:t>
      </w:r>
      <w:r w:rsidRPr="000A0C4D">
        <w:rPr>
          <w:rFonts w:ascii="Palatino Linotype" w:hAnsi="Palatino Linotype"/>
          <w:i/>
          <w:iCs/>
          <w:noProof/>
          <w:sz w:val="20"/>
          <w:szCs w:val="20"/>
        </w:rPr>
        <w:t>d)</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12</w:t>
      </w:r>
      <w:r w:rsidRPr="000A0C4D">
        <w:rPr>
          <w:rFonts w:ascii="Palatino Linotype" w:hAnsi="Palatino Linotype"/>
          <w:noProof/>
          <w:sz w:val="20"/>
          <w:szCs w:val="20"/>
        </w:rPr>
        <w:t>(10), 1-28.</w:t>
      </w:r>
    </w:p>
    <w:p w14:paraId="457FA309"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 xml:space="preserve">Roztocki, N., Soja, P., &amp; Weistroffer, H. R. (2019). The role of information and communication technologies in socio-economic development: towards a multi-dimensional framework*. </w:t>
      </w:r>
      <w:r w:rsidRPr="000A0C4D">
        <w:rPr>
          <w:rFonts w:ascii="Palatino Linotype" w:hAnsi="Palatino Linotype"/>
          <w:i/>
          <w:iCs/>
          <w:noProof/>
          <w:sz w:val="20"/>
          <w:szCs w:val="20"/>
        </w:rPr>
        <w:t>Information Technology for Development</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25</w:t>
      </w:r>
      <w:r w:rsidRPr="000A0C4D">
        <w:rPr>
          <w:rFonts w:ascii="Palatino Linotype" w:hAnsi="Palatino Linotype"/>
          <w:noProof/>
          <w:sz w:val="20"/>
          <w:szCs w:val="20"/>
        </w:rPr>
        <w:t xml:space="preserve">(2), 171-183. </w:t>
      </w:r>
      <w:r w:rsidRPr="000A0C4D">
        <w:rPr>
          <w:rFonts w:ascii="Palatino Linotype" w:hAnsi="Palatino Linotype"/>
          <w:noProof/>
          <w:sz w:val="20"/>
          <w:szCs w:val="20"/>
        </w:rPr>
        <w:t>https://doi.org/10.1080/02681102.2019.1596654</w:t>
      </w:r>
    </w:p>
    <w:p w14:paraId="4C9E59C6"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 xml:space="preserve">Singh, J., Steele, K., &amp; Singh, L. (2021). Combining the best online and face-to-face learning: hybrid and blended learning approaches for COVID-19, post-vaccine, &amp; post-pandemic world. In </w:t>
      </w:r>
      <w:r w:rsidRPr="000A0C4D">
        <w:rPr>
          <w:rFonts w:ascii="Palatino Linotype" w:hAnsi="Palatino Linotype"/>
          <w:i/>
          <w:iCs/>
          <w:noProof/>
          <w:sz w:val="20"/>
          <w:szCs w:val="20"/>
        </w:rPr>
        <w:t>Journal of Educationa</w:t>
      </w:r>
      <w:r w:rsidRPr="000A0C4D">
        <w:rPr>
          <w:rFonts w:ascii="Palatino Linotype" w:hAnsi="Palatino Linotype"/>
          <w:i/>
          <w:iCs/>
          <w:noProof/>
          <w:sz w:val="20"/>
          <w:szCs w:val="20"/>
        </w:rPr>
        <w:t xml:space="preserve">l Technology Systems </w:t>
      </w:r>
      <w:r w:rsidRPr="000A0C4D">
        <w:rPr>
          <w:rFonts w:ascii="Palatino Linotype" w:hAnsi="Palatino Linotype"/>
          <w:noProof/>
          <w:sz w:val="20"/>
          <w:szCs w:val="20"/>
        </w:rPr>
        <w:t>(Vol. 50, Issue 2). https://doi.org/10.1177/00472395211047865</w:t>
      </w:r>
    </w:p>
    <w:p w14:paraId="71E6E209"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 xml:space="preserve">Walsh, B. M., &amp; Magley, V. J. (2020). Workplace civility training: understanding drivers of motivation to learn. </w:t>
      </w:r>
      <w:r w:rsidRPr="000A0C4D">
        <w:rPr>
          <w:rFonts w:ascii="Palatino Linotype" w:hAnsi="Palatino Linotype"/>
          <w:i/>
          <w:iCs/>
          <w:noProof/>
          <w:sz w:val="20"/>
          <w:szCs w:val="20"/>
        </w:rPr>
        <w:t>International Journal of Human Resource Management</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31</w:t>
      </w:r>
      <w:r w:rsidRPr="000A0C4D">
        <w:rPr>
          <w:rFonts w:ascii="Palatino Linotype" w:hAnsi="Palatino Linotype"/>
          <w:noProof/>
          <w:sz w:val="20"/>
          <w:szCs w:val="20"/>
        </w:rPr>
        <w:t xml:space="preserve">(17), </w:t>
      </w:r>
      <w:r w:rsidRPr="000A0C4D">
        <w:rPr>
          <w:rFonts w:ascii="Palatino Linotype" w:hAnsi="Palatino Linotype"/>
          <w:noProof/>
          <w:sz w:val="20"/>
          <w:szCs w:val="20"/>
        </w:rPr>
        <w:t>2165–2187. https://doi.org/10.1080/09585192.2018.1441164</w:t>
      </w:r>
    </w:p>
    <w:p w14:paraId="417A5CB2"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Wong, K. T., Hwang, G. J., Goh, P. S. C., &amp; Mohd Arrif, S. K. (2020). Effects of blended learning pedagogical practices on students' motivation and autonomy for the teaching of short stories in upper</w:t>
      </w:r>
      <w:r w:rsidRPr="000A0C4D">
        <w:rPr>
          <w:rFonts w:ascii="Palatino Linotype" w:hAnsi="Palatino Linotype"/>
          <w:noProof/>
          <w:sz w:val="20"/>
          <w:szCs w:val="20"/>
        </w:rPr>
        <w:t xml:space="preserve"> secondary English. </w:t>
      </w:r>
      <w:r w:rsidRPr="000A0C4D">
        <w:rPr>
          <w:rFonts w:ascii="Palatino Linotype" w:hAnsi="Palatino Linotype"/>
          <w:i/>
          <w:iCs/>
          <w:noProof/>
          <w:sz w:val="20"/>
          <w:szCs w:val="20"/>
        </w:rPr>
        <w:t>Interactive Learning Environments</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28</w:t>
      </w:r>
      <w:r w:rsidRPr="000A0C4D">
        <w:rPr>
          <w:rFonts w:ascii="Palatino Linotype" w:hAnsi="Palatino Linotype"/>
          <w:noProof/>
          <w:sz w:val="20"/>
          <w:szCs w:val="20"/>
        </w:rPr>
        <w:t>(4), 512–525. https://doi.org/10.1080/10494820.2018.1542318</w:t>
      </w:r>
    </w:p>
    <w:p w14:paraId="0E42E206" w14:textId="77777777" w:rsidR="00092A09" w:rsidRPr="000A0C4D" w:rsidRDefault="007024BD">
      <w:pPr>
        <w:widowControl w:val="0"/>
        <w:autoSpaceDE w:val="0"/>
        <w:autoSpaceDN w:val="0"/>
        <w:adjustRightInd w:val="0"/>
        <w:spacing w:after="0" w:line="240" w:lineRule="auto"/>
        <w:ind w:left="426" w:hanging="426"/>
        <w:jc w:val="both"/>
        <w:rPr>
          <w:rFonts w:ascii="Palatino Linotype" w:hAnsi="Palatino Linotype"/>
          <w:noProof/>
          <w:sz w:val="20"/>
          <w:szCs w:val="20"/>
        </w:rPr>
      </w:pPr>
      <w:r w:rsidRPr="000A0C4D">
        <w:rPr>
          <w:rFonts w:ascii="Palatino Linotype" w:hAnsi="Palatino Linotype"/>
          <w:noProof/>
          <w:sz w:val="20"/>
          <w:szCs w:val="20"/>
        </w:rPr>
        <w:t>Xiao, B., &amp; Song, G. (2022). The impact of family socioeconomic status on learning conformity among Chinese university students: self-effic</w:t>
      </w:r>
      <w:r w:rsidRPr="000A0C4D">
        <w:rPr>
          <w:rFonts w:ascii="Palatino Linotype" w:hAnsi="Palatino Linotype"/>
          <w:noProof/>
          <w:sz w:val="20"/>
          <w:szCs w:val="20"/>
        </w:rPr>
        <w:t xml:space="preserve">acy as a mediating factor. </w:t>
      </w:r>
      <w:r w:rsidRPr="000A0C4D">
        <w:rPr>
          <w:rFonts w:ascii="Palatino Linotype" w:hAnsi="Palatino Linotype"/>
          <w:i/>
          <w:iCs/>
          <w:noProof/>
          <w:sz w:val="20"/>
          <w:szCs w:val="20"/>
        </w:rPr>
        <w:t>Sustainability (Switzerland)</w:t>
      </w:r>
      <w:r w:rsidRPr="000A0C4D">
        <w:rPr>
          <w:rFonts w:ascii="Palatino Linotype" w:hAnsi="Palatino Linotype"/>
          <w:noProof/>
          <w:sz w:val="20"/>
          <w:szCs w:val="20"/>
        </w:rPr>
        <w:t xml:space="preserve">, </w:t>
      </w:r>
      <w:r w:rsidRPr="000A0C4D">
        <w:rPr>
          <w:rFonts w:ascii="Palatino Linotype" w:hAnsi="Palatino Linotype"/>
          <w:i/>
          <w:iCs/>
          <w:noProof/>
          <w:sz w:val="20"/>
          <w:szCs w:val="20"/>
        </w:rPr>
        <w:t>14</w:t>
      </w:r>
      <w:r w:rsidRPr="000A0C4D">
        <w:rPr>
          <w:rFonts w:ascii="Palatino Linotype" w:hAnsi="Palatino Linotype"/>
          <w:noProof/>
          <w:sz w:val="20"/>
          <w:szCs w:val="20"/>
        </w:rPr>
        <w:t>(16), 1-16. https://doi.org/10.3390/su14169845</w:t>
      </w:r>
    </w:p>
    <w:p w14:paraId="36E5ACFD" w14:textId="77777777" w:rsidR="00AC4C2F" w:rsidRDefault="007024BD" w:rsidP="00AC4C2F">
      <w:pPr>
        <w:widowControl w:val="0"/>
        <w:spacing w:after="0"/>
        <w:ind w:hanging="2"/>
        <w:jc w:val="both"/>
        <w:rPr>
          <w:rFonts w:ascii="Cambria" w:eastAsia="Times New Roman" w:hAnsi="Cambria" w:cs="Cambria"/>
          <w:color w:val="000000"/>
          <w:sz w:val="20"/>
          <w:szCs w:val="20"/>
        </w:rPr>
      </w:pPr>
      <w:r w:rsidRPr="000A0C4D">
        <w:rPr>
          <w:rFonts w:ascii="Palatino Linotype" w:hAnsi="Palatino Linotype"/>
          <w:bCs/>
          <w:sz w:val="20"/>
          <w:szCs w:val="20"/>
        </w:rPr>
        <w:fldChar w:fldCharType="end"/>
      </w:r>
    </w:p>
    <w:p w14:paraId="242A3137" w14:textId="77777777" w:rsidR="00143989" w:rsidRPr="00723B12" w:rsidRDefault="00143989" w:rsidP="002B31FD">
      <w:pPr>
        <w:pStyle w:val="Alishlah71References"/>
      </w:pPr>
    </w:p>
    <w:sectPr w:rsidR="00143989" w:rsidRPr="00723B12" w:rsidSect="001914CF">
      <w:headerReference w:type="default" r:id="rId11"/>
      <w:footerReference w:type="default" r:id="rId12"/>
      <w:headerReference w:type="first" r:id="rId13"/>
      <w:footerReference w:type="first" r:id="rId14"/>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D28C5B" w14:textId="77777777" w:rsidR="007024BD" w:rsidRDefault="007024BD" w:rsidP="008E64A2">
      <w:pPr>
        <w:spacing w:after="0" w:line="240" w:lineRule="auto"/>
      </w:pPr>
      <w:r>
        <w:separator/>
      </w:r>
    </w:p>
    <w:p w14:paraId="355F74FF" w14:textId="77777777" w:rsidR="007024BD" w:rsidRDefault="007024BD"/>
  </w:endnote>
  <w:endnote w:type="continuationSeparator" w:id="0">
    <w:p w14:paraId="7D124474" w14:textId="77777777" w:rsidR="007024BD" w:rsidRDefault="007024BD" w:rsidP="008E64A2">
      <w:pPr>
        <w:spacing w:after="0" w:line="240" w:lineRule="auto"/>
      </w:pPr>
      <w:r>
        <w:continuationSeparator/>
      </w:r>
    </w:p>
    <w:p w14:paraId="40D92421" w14:textId="77777777" w:rsidR="007024BD" w:rsidRDefault="007024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ED0379" w14:textId="77777777" w:rsidR="00092A09" w:rsidRDefault="007024BD">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941864" w14:textId="77777777" w:rsidR="00092A09" w:rsidRDefault="007024BD">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B40E94" w14:textId="77777777" w:rsidR="007024BD" w:rsidRDefault="007024BD" w:rsidP="008E64A2">
      <w:pPr>
        <w:spacing w:after="0" w:line="240" w:lineRule="auto"/>
      </w:pPr>
      <w:r>
        <w:separator/>
      </w:r>
    </w:p>
    <w:p w14:paraId="06A00A80" w14:textId="77777777" w:rsidR="007024BD" w:rsidRDefault="007024BD"/>
  </w:footnote>
  <w:footnote w:type="continuationSeparator" w:id="0">
    <w:p w14:paraId="04E8C075" w14:textId="77777777" w:rsidR="007024BD" w:rsidRDefault="007024BD" w:rsidP="008E64A2">
      <w:pPr>
        <w:spacing w:after="0" w:line="240" w:lineRule="auto"/>
      </w:pPr>
      <w:r>
        <w:continuationSeparator/>
      </w:r>
    </w:p>
    <w:p w14:paraId="702C03EB" w14:textId="77777777" w:rsidR="007024BD" w:rsidRDefault="007024B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9FA5CE" w14:textId="77777777" w:rsidR="00092A09" w:rsidRDefault="007024BD">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0288" behindDoc="0" locked="0" layoutInCell="1" allowOverlap="1" wp14:anchorId="251F34DB" wp14:editId="393B7613">
              <wp:simplePos x="0" y="0"/>
              <wp:positionH relativeFrom="column">
                <wp:posOffset>8890</wp:posOffset>
              </wp:positionH>
              <wp:positionV relativeFrom="paragraph">
                <wp:posOffset>191134</wp:posOffset>
              </wp:positionV>
              <wp:extent cx="561594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3" o:spid="_x0000_s2049" type="#_x0000_t32" style="width:442.2pt;height:0;margin-top:15.05pt;margin-left:0.7pt;mso-height-percent:0;mso-height-relative:page;mso-width-percent:0;mso-width-relative:page;mso-wrap-distance-bottom:0;mso-wrap-distance-left:9pt;mso-wrap-distance-right:9pt;mso-wrap-distance-top:0;mso-wrap-style:square;position:absolute;visibility:visible;z-index:251661312"/>
          </w:pict>
        </mc:Fallback>
      </mc:AlternateContent>
    </w:r>
    <w:r w:rsidR="000201DB" w:rsidRPr="0048254D">
      <w:rPr>
        <w:rFonts w:ascii="Palatino Linotype" w:hAnsi="Palatino Linotype"/>
        <w:i/>
        <w:sz w:val="16"/>
      </w:rPr>
      <w:t>Al-</w:t>
    </w:r>
    <w:proofErr w:type="spellStart"/>
    <w:r w:rsidR="000201DB" w:rsidRPr="0048254D">
      <w:rPr>
        <w:rFonts w:ascii="Palatino Linotype" w:hAnsi="Palatino Linotype"/>
        <w:i/>
        <w:sz w:val="16"/>
      </w:rPr>
      <w:t>Ishlah</w:t>
    </w:r>
    <w:proofErr w:type="spellEnd"/>
    <w:r w:rsidR="000201DB" w:rsidRPr="0048254D">
      <w:rPr>
        <w:rFonts w:ascii="Palatino Linotype" w:hAnsi="Palatino Linotype"/>
        <w:i/>
        <w:sz w:val="16"/>
      </w:rPr>
      <w:t>: Journal of Education</w:t>
    </w:r>
    <w:r w:rsidR="000201DB">
      <w:rPr>
        <w:rFonts w:ascii="Palatino Linotype" w:hAnsi="Palatino Linotype"/>
        <w:i/>
        <w:sz w:val="16"/>
      </w:rPr>
      <w:t>, Vol. 4</w:t>
    </w:r>
    <w:r w:rsidR="000201DB" w:rsidRPr="00EE35A7">
      <w:rPr>
        <w:rFonts w:ascii="Palatino Linotype" w:hAnsi="Palatino Linotype"/>
        <w:i/>
        <w:sz w:val="16"/>
      </w:rPr>
      <w:t xml:space="preserve">, </w:t>
    </w:r>
    <w:r w:rsidR="000201DB">
      <w:rPr>
        <w:rFonts w:ascii="Palatino Linotype" w:hAnsi="Palatino Linotype"/>
        <w:i/>
        <w:sz w:val="16"/>
      </w:rPr>
      <w:t xml:space="preserve">1 </w:t>
    </w:r>
    <w:r w:rsidR="000201DB" w:rsidRPr="00EE35A7">
      <w:rPr>
        <w:rFonts w:ascii="Palatino Linotype" w:hAnsi="Palatino Linotype"/>
        <w:i/>
        <w:sz w:val="16"/>
      </w:rPr>
      <w:t>(</w:t>
    </w:r>
    <w:r w:rsidR="000201DB">
      <w:rPr>
        <w:rFonts w:ascii="Palatino Linotype" w:hAnsi="Palatino Linotype"/>
        <w:i/>
        <w:sz w:val="16"/>
      </w:rPr>
      <w:t>April 2022</w:t>
    </w:r>
    <w:r w:rsidR="000201DB" w:rsidRPr="00EE35A7">
      <w:rPr>
        <w:rFonts w:ascii="Palatino Linotype" w:hAnsi="Palatino Linotype"/>
        <w:i/>
        <w:sz w:val="16"/>
      </w:rPr>
      <w:t xml:space="preserve">): </w:t>
    </w:r>
    <w:r w:rsidR="00727D5A">
      <w:rPr>
        <w:rFonts w:ascii="Palatino Linotype" w:hAnsi="Palatino Linotype"/>
        <w:i/>
        <w:sz w:val="16"/>
      </w:rPr>
      <w:t>p-</w:t>
    </w:r>
    <w:proofErr w:type="spellStart"/>
    <w:r w:rsidR="00727D5A">
      <w:rPr>
        <w:rFonts w:ascii="Palatino Linotype" w:hAnsi="Palatino Linotype"/>
        <w:i/>
        <w:sz w:val="16"/>
      </w:rPr>
      <w:t>pp</w:t>
    </w:r>
    <w:proofErr w:type="spellEnd"/>
    <w:r w:rsidR="000201DB">
      <w:rPr>
        <w:rFonts w:ascii="Palatino Linotype" w:hAnsi="Palatino Linotype"/>
        <w:sz w:val="16"/>
      </w:rPr>
      <w:tab/>
    </w:r>
    <w:r w:rsidR="000201DB">
      <w:rPr>
        <w:rFonts w:ascii="Palatino Linotype" w:hAnsi="Palatino Linotype"/>
        <w:sz w:val="16"/>
      </w:rPr>
      <w:fldChar w:fldCharType="begin"/>
    </w:r>
    <w:r w:rsidR="000201DB">
      <w:rPr>
        <w:rFonts w:ascii="Palatino Linotype" w:hAnsi="Palatino Linotype"/>
        <w:sz w:val="16"/>
      </w:rPr>
      <w:instrText xml:space="preserve"> PAGE   \* MERGEFORMAT </w:instrText>
    </w:r>
    <w:r w:rsidR="000201DB">
      <w:rPr>
        <w:rFonts w:ascii="Palatino Linotype" w:hAnsi="Palatino Linotype"/>
        <w:sz w:val="16"/>
      </w:rPr>
      <w:fldChar w:fldCharType="separate"/>
    </w:r>
    <w:r w:rsidR="00401323">
      <w:rPr>
        <w:rFonts w:ascii="Palatino Linotype" w:hAnsi="Palatino Linotype"/>
        <w:noProof/>
        <w:sz w:val="16"/>
      </w:rPr>
      <w:t>62</w:t>
    </w:r>
    <w:r w:rsidR="000201DB">
      <w:rPr>
        <w:rFonts w:ascii="Palatino Linotype" w:hAnsi="Palatino Linotype"/>
        <w:sz w:val="16"/>
      </w:rPr>
      <w:fldChar w:fldCharType="end"/>
    </w:r>
    <w:r w:rsidR="000201DB">
      <w:rPr>
        <w:rFonts w:ascii="Palatino Linotype" w:hAnsi="Palatino Linotype"/>
        <w:sz w:val="16"/>
      </w:rPr>
      <w:t xml:space="preserve"> of </w:t>
    </w:r>
    <w:r w:rsidR="001914CF">
      <w:rPr>
        <w:rFonts w:ascii="Palatino Linotype" w:hAnsi="Palatino Linotype"/>
        <w:sz w:val="16"/>
      </w:rPr>
      <w:t>70</w:t>
    </w:r>
  </w:p>
  <w:p w14:paraId="11A88843" w14:textId="77777777" w:rsidR="00A5096A" w:rsidRDefault="00A509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34395E" w14:textId="77777777" w:rsidR="00092A09" w:rsidRDefault="007024BD">
    <w:pPr>
      <w:pStyle w:val="Header"/>
      <w:ind w:right="45"/>
      <w:rPr>
        <w:rFonts w:ascii="Palatino Linotype" w:hAnsi="Palatino Linotype"/>
        <w:b/>
        <w:sz w:val="20"/>
      </w:rPr>
    </w:pPr>
    <w:bookmarkStart w:id="3"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Journal of Education</w:t>
    </w:r>
  </w:p>
  <w:p w14:paraId="318985E5" w14:textId="77777777" w:rsidR="00092A09" w:rsidRDefault="007024BD">
    <w:pPr>
      <w:tabs>
        <w:tab w:val="left" w:pos="3675"/>
      </w:tabs>
      <w:spacing w:after="0" w:line="240" w:lineRule="auto"/>
      <w:ind w:right="45"/>
      <w:rPr>
        <w:rFonts w:ascii="Palatino Linotype" w:hAnsi="Palatino Linotype"/>
        <w:sz w:val="18"/>
        <w:szCs w:val="18"/>
        <w:lang w:val="en-US"/>
      </w:rPr>
    </w:pPr>
    <w:r w:rsidRPr="0048254D">
      <w:rPr>
        <w:rFonts w:ascii="Palatino Linotype" w:hAnsi="Palatino Linotype"/>
        <w:sz w:val="18"/>
        <w:szCs w:val="18"/>
        <w:lang w:val="en-US"/>
      </w:rPr>
      <w:t xml:space="preserve">Vol.14, 1 (April, 2022), pp. </w:t>
    </w:r>
    <w:r w:rsidR="001914CF">
      <w:rPr>
        <w:rFonts w:ascii="Palatino Linotype" w:hAnsi="Palatino Linotype"/>
        <w:sz w:val="18"/>
        <w:szCs w:val="18"/>
        <w:lang w:val="en-US"/>
      </w:rPr>
      <w:t>61-70</w:t>
    </w:r>
  </w:p>
  <w:p w14:paraId="03E26542" w14:textId="77777777" w:rsidR="00092A09" w:rsidRDefault="007024BD">
    <w:pPr>
      <w:tabs>
        <w:tab w:val="left" w:pos="7938"/>
        <w:tab w:val="right" w:pos="8789"/>
      </w:tabs>
      <w:spacing w:after="0" w:line="240" w:lineRule="auto"/>
      <w:rPr>
        <w:rFonts w:ascii="Times New Roman" w:hAnsi="Times New Roman"/>
        <w:sz w:val="20"/>
        <w:szCs w:val="20"/>
        <w:lang w:val="en-US"/>
      </w:rPr>
    </w:pPr>
    <w:r w:rsidRPr="0048254D">
      <w:rPr>
        <w:rFonts w:ascii="Palatino Linotype" w:hAnsi="Palatino Linotype"/>
        <w:sz w:val="18"/>
        <w:szCs w:val="18"/>
        <w:lang w:val="en-US"/>
      </w:rPr>
      <w:t>ISSN: 2087-9490 EISSN: 2597-940X, DOI: 10.35445/alishlah.v14i1.</w:t>
    </w:r>
    <w:bookmarkEnd w:id="3"/>
    <w:r w:rsidR="00D4040D">
      <w:rPr>
        <w:noProof/>
        <w:lang w:val="en-US"/>
      </w:rPr>
      <mc:AlternateContent>
        <mc:Choice Requires="wps">
          <w:drawing>
            <wp:anchor distT="0" distB="0" distL="114300" distR="114300" simplePos="0" relativeHeight="251658240" behindDoc="0" locked="0" layoutInCell="1" allowOverlap="1" wp14:anchorId="392D7970" wp14:editId="2098A2EB">
              <wp:simplePos x="0" y="0"/>
              <wp:positionH relativeFrom="column">
                <wp:posOffset>-19050</wp:posOffset>
              </wp:positionH>
              <wp:positionV relativeFrom="paragraph">
                <wp:posOffset>180974</wp:posOffset>
              </wp:positionV>
              <wp:extent cx="561594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2" o:spid="_x0000_s2050" type="#_x0000_t32" style="width:442.2pt;height:0;margin-top:14.25pt;margin-left:-1.5pt;mso-height-percent:0;mso-height-relative:page;mso-width-percent:0;mso-width-relative:page;mso-wrap-distance-bottom:0;mso-wrap-distance-left:9pt;mso-wrap-distance-right:9pt;mso-wrap-distance-top:0;mso-wrap-style:square;position:absolute;visibility:visible;z-index:251659264"/>
          </w:pict>
        </mc:Fallback>
      </mc:AlternateContent>
    </w:r>
    <w:r w:rsidR="00FA43FF">
      <w:rPr>
        <w:rFonts w:ascii="Palatino Linotype" w:hAnsi="Palatino Linotype"/>
        <w:sz w:val="18"/>
        <w:szCs w:val="18"/>
        <w:lang w:val="en-US"/>
      </w:rPr>
      <w:t xml:space="preserve"> 973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D52E7"/>
    <w:multiLevelType w:val="hybridMultilevel"/>
    <w:tmpl w:val="FFFFFFFF"/>
    <w:lvl w:ilvl="0" w:tplc="FB66181A">
      <w:start w:val="1"/>
      <w:numFmt w:val="lowerLetter"/>
      <w:lvlText w:val="%1."/>
      <w:lvlJc w:val="left"/>
      <w:pPr>
        <w:ind w:left="720" w:hanging="360"/>
      </w:pPr>
      <w:rPr>
        <w:rFonts w:cs="Times New Roman" w:hint="default"/>
      </w:rPr>
    </w:lvl>
    <w:lvl w:ilvl="1" w:tplc="FDE01ED4" w:tentative="1">
      <w:start w:val="1"/>
      <w:numFmt w:val="lowerLetter"/>
      <w:lvlText w:val="%2."/>
      <w:lvlJc w:val="left"/>
      <w:pPr>
        <w:ind w:left="1440" w:hanging="360"/>
      </w:pPr>
      <w:rPr>
        <w:rFonts w:cs="Times New Roman"/>
      </w:rPr>
    </w:lvl>
    <w:lvl w:ilvl="2" w:tplc="EF8455D2" w:tentative="1">
      <w:start w:val="1"/>
      <w:numFmt w:val="lowerRoman"/>
      <w:lvlText w:val="%3."/>
      <w:lvlJc w:val="right"/>
      <w:pPr>
        <w:ind w:left="2160" w:hanging="180"/>
      </w:pPr>
      <w:rPr>
        <w:rFonts w:cs="Times New Roman"/>
      </w:rPr>
    </w:lvl>
    <w:lvl w:ilvl="3" w:tplc="BEB4B0FA" w:tentative="1">
      <w:start w:val="1"/>
      <w:numFmt w:val="decimal"/>
      <w:lvlText w:val="%4."/>
      <w:lvlJc w:val="left"/>
      <w:pPr>
        <w:ind w:left="2880" w:hanging="360"/>
      </w:pPr>
      <w:rPr>
        <w:rFonts w:cs="Times New Roman"/>
      </w:rPr>
    </w:lvl>
    <w:lvl w:ilvl="4" w:tplc="D32E2FEC" w:tentative="1">
      <w:start w:val="1"/>
      <w:numFmt w:val="lowerLetter"/>
      <w:lvlText w:val="%5."/>
      <w:lvlJc w:val="left"/>
      <w:pPr>
        <w:ind w:left="3600" w:hanging="360"/>
      </w:pPr>
      <w:rPr>
        <w:rFonts w:cs="Times New Roman"/>
      </w:rPr>
    </w:lvl>
    <w:lvl w:ilvl="5" w:tplc="C18E1DC6" w:tentative="1">
      <w:start w:val="1"/>
      <w:numFmt w:val="lowerRoman"/>
      <w:lvlText w:val="%6."/>
      <w:lvlJc w:val="right"/>
      <w:pPr>
        <w:ind w:left="4320" w:hanging="180"/>
      </w:pPr>
      <w:rPr>
        <w:rFonts w:cs="Times New Roman"/>
      </w:rPr>
    </w:lvl>
    <w:lvl w:ilvl="6" w:tplc="A5542CEE" w:tentative="1">
      <w:start w:val="1"/>
      <w:numFmt w:val="decimal"/>
      <w:lvlText w:val="%7."/>
      <w:lvlJc w:val="left"/>
      <w:pPr>
        <w:ind w:left="5040" w:hanging="360"/>
      </w:pPr>
      <w:rPr>
        <w:rFonts w:cs="Times New Roman"/>
      </w:rPr>
    </w:lvl>
    <w:lvl w:ilvl="7" w:tplc="0186B536" w:tentative="1">
      <w:start w:val="1"/>
      <w:numFmt w:val="lowerLetter"/>
      <w:lvlText w:val="%8."/>
      <w:lvlJc w:val="left"/>
      <w:pPr>
        <w:ind w:left="5760" w:hanging="360"/>
      </w:pPr>
      <w:rPr>
        <w:rFonts w:cs="Times New Roman"/>
      </w:rPr>
    </w:lvl>
    <w:lvl w:ilvl="8" w:tplc="652A7048" w:tentative="1">
      <w:start w:val="1"/>
      <w:numFmt w:val="lowerRoman"/>
      <w:lvlText w:val="%9."/>
      <w:lvlJc w:val="right"/>
      <w:pPr>
        <w:ind w:left="6480" w:hanging="180"/>
      </w:pPr>
      <w:rPr>
        <w:rFonts w:cs="Times New Roman"/>
      </w:rPr>
    </w:lvl>
  </w:abstractNum>
  <w:abstractNum w:abstractNumId="1">
    <w:nsid w:val="07EC0F97"/>
    <w:multiLevelType w:val="multilevel"/>
    <w:tmpl w:val="FFFFFFFF"/>
    <w:lvl w:ilvl="0">
      <w:start w:val="1"/>
      <w:numFmt w:val="lowerLetter"/>
      <w:lvlText w:val="%1."/>
      <w:lvlJc w:val="left"/>
      <w:pPr>
        <w:ind w:left="786" w:hanging="360"/>
      </w:pPr>
      <w:rPr>
        <w:rFonts w:cs="Times New Roman" w:hint="default"/>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2">
    <w:nsid w:val="0CCF0137"/>
    <w:multiLevelType w:val="hybridMultilevel"/>
    <w:tmpl w:val="FFFFFFFF"/>
    <w:lvl w:ilvl="0" w:tplc="2534C5C0">
      <w:start w:val="1"/>
      <w:numFmt w:val="lowerLetter"/>
      <w:lvlText w:val="%1."/>
      <w:lvlJc w:val="left"/>
      <w:pPr>
        <w:ind w:left="720" w:hanging="360"/>
      </w:pPr>
      <w:rPr>
        <w:rFonts w:cs="Times New Roman" w:hint="default"/>
      </w:rPr>
    </w:lvl>
    <w:lvl w:ilvl="1" w:tplc="06D2F71A" w:tentative="1">
      <w:start w:val="1"/>
      <w:numFmt w:val="lowerLetter"/>
      <w:lvlText w:val="%2."/>
      <w:lvlJc w:val="left"/>
      <w:pPr>
        <w:ind w:left="1440" w:hanging="360"/>
      </w:pPr>
      <w:rPr>
        <w:rFonts w:cs="Times New Roman"/>
      </w:rPr>
    </w:lvl>
    <w:lvl w:ilvl="2" w:tplc="5E903D22" w:tentative="1">
      <w:start w:val="1"/>
      <w:numFmt w:val="lowerRoman"/>
      <w:lvlText w:val="%3."/>
      <w:lvlJc w:val="right"/>
      <w:pPr>
        <w:ind w:left="2160" w:hanging="180"/>
      </w:pPr>
      <w:rPr>
        <w:rFonts w:cs="Times New Roman"/>
      </w:rPr>
    </w:lvl>
    <w:lvl w:ilvl="3" w:tplc="C8AC2BBC" w:tentative="1">
      <w:start w:val="1"/>
      <w:numFmt w:val="decimal"/>
      <w:lvlText w:val="%4."/>
      <w:lvlJc w:val="left"/>
      <w:pPr>
        <w:ind w:left="2880" w:hanging="360"/>
      </w:pPr>
      <w:rPr>
        <w:rFonts w:cs="Times New Roman"/>
      </w:rPr>
    </w:lvl>
    <w:lvl w:ilvl="4" w:tplc="4E22E902" w:tentative="1">
      <w:start w:val="1"/>
      <w:numFmt w:val="lowerLetter"/>
      <w:lvlText w:val="%5."/>
      <w:lvlJc w:val="left"/>
      <w:pPr>
        <w:ind w:left="3600" w:hanging="360"/>
      </w:pPr>
      <w:rPr>
        <w:rFonts w:cs="Times New Roman"/>
      </w:rPr>
    </w:lvl>
    <w:lvl w:ilvl="5" w:tplc="72360A9E" w:tentative="1">
      <w:start w:val="1"/>
      <w:numFmt w:val="lowerRoman"/>
      <w:lvlText w:val="%6."/>
      <w:lvlJc w:val="right"/>
      <w:pPr>
        <w:ind w:left="4320" w:hanging="180"/>
      </w:pPr>
      <w:rPr>
        <w:rFonts w:cs="Times New Roman"/>
      </w:rPr>
    </w:lvl>
    <w:lvl w:ilvl="6" w:tplc="CC321BEC" w:tentative="1">
      <w:start w:val="1"/>
      <w:numFmt w:val="decimal"/>
      <w:lvlText w:val="%7."/>
      <w:lvlJc w:val="left"/>
      <w:pPr>
        <w:ind w:left="5040" w:hanging="360"/>
      </w:pPr>
      <w:rPr>
        <w:rFonts w:cs="Times New Roman"/>
      </w:rPr>
    </w:lvl>
    <w:lvl w:ilvl="7" w:tplc="8984329A" w:tentative="1">
      <w:start w:val="1"/>
      <w:numFmt w:val="lowerLetter"/>
      <w:lvlText w:val="%8."/>
      <w:lvlJc w:val="left"/>
      <w:pPr>
        <w:ind w:left="5760" w:hanging="360"/>
      </w:pPr>
      <w:rPr>
        <w:rFonts w:cs="Times New Roman"/>
      </w:rPr>
    </w:lvl>
    <w:lvl w:ilvl="8" w:tplc="A036AF8E" w:tentative="1">
      <w:start w:val="1"/>
      <w:numFmt w:val="lowerRoman"/>
      <w:lvlText w:val="%9."/>
      <w:lvlJc w:val="right"/>
      <w:pPr>
        <w:ind w:left="6480" w:hanging="180"/>
      </w:pPr>
      <w:rPr>
        <w:rFonts w:cs="Times New Roman"/>
      </w:rPr>
    </w:lvl>
  </w:abstractNum>
  <w:abstractNum w:abstractNumId="3">
    <w:nsid w:val="13694B6F"/>
    <w:multiLevelType w:val="hybridMultilevel"/>
    <w:tmpl w:val="FFFFFFFF"/>
    <w:lvl w:ilvl="0" w:tplc="F65249F4">
      <w:start w:val="1"/>
      <w:numFmt w:val="decimal"/>
      <w:lvlText w:val="3. %1."/>
      <w:lvlJc w:val="left"/>
      <w:pPr>
        <w:ind w:left="720" w:hanging="360"/>
      </w:pPr>
      <w:rPr>
        <w:rFonts w:cs="Times New Roman"/>
      </w:rPr>
    </w:lvl>
    <w:lvl w:ilvl="1" w:tplc="750CD730">
      <w:start w:val="1"/>
      <w:numFmt w:val="lowerLetter"/>
      <w:lvlText w:val="%2."/>
      <w:lvlJc w:val="left"/>
      <w:pPr>
        <w:ind w:left="1440" w:hanging="360"/>
      </w:pPr>
      <w:rPr>
        <w:rFonts w:cs="Times New Roman"/>
      </w:rPr>
    </w:lvl>
    <w:lvl w:ilvl="2" w:tplc="C6F8D11E">
      <w:start w:val="1"/>
      <w:numFmt w:val="lowerRoman"/>
      <w:lvlText w:val="%3."/>
      <w:lvlJc w:val="right"/>
      <w:pPr>
        <w:ind w:left="2160" w:hanging="180"/>
      </w:pPr>
      <w:rPr>
        <w:rFonts w:cs="Times New Roman"/>
      </w:rPr>
    </w:lvl>
    <w:lvl w:ilvl="3" w:tplc="E8F484AA">
      <w:start w:val="1"/>
      <w:numFmt w:val="decimal"/>
      <w:lvlText w:val="%4."/>
      <w:lvlJc w:val="left"/>
      <w:pPr>
        <w:ind w:left="2880" w:hanging="360"/>
      </w:pPr>
      <w:rPr>
        <w:rFonts w:cs="Times New Roman"/>
      </w:rPr>
    </w:lvl>
    <w:lvl w:ilvl="4" w:tplc="E4BA5B40">
      <w:start w:val="1"/>
      <w:numFmt w:val="lowerLetter"/>
      <w:lvlText w:val="%5."/>
      <w:lvlJc w:val="left"/>
      <w:pPr>
        <w:ind w:left="3600" w:hanging="360"/>
      </w:pPr>
      <w:rPr>
        <w:rFonts w:cs="Times New Roman"/>
      </w:rPr>
    </w:lvl>
    <w:lvl w:ilvl="5" w:tplc="322C3488">
      <w:start w:val="1"/>
      <w:numFmt w:val="lowerRoman"/>
      <w:lvlText w:val="%6."/>
      <w:lvlJc w:val="right"/>
      <w:pPr>
        <w:ind w:left="4320" w:hanging="180"/>
      </w:pPr>
      <w:rPr>
        <w:rFonts w:cs="Times New Roman"/>
      </w:rPr>
    </w:lvl>
    <w:lvl w:ilvl="6" w:tplc="B0C892E0">
      <w:start w:val="1"/>
      <w:numFmt w:val="decimal"/>
      <w:lvlText w:val="%7."/>
      <w:lvlJc w:val="left"/>
      <w:pPr>
        <w:ind w:left="5040" w:hanging="360"/>
      </w:pPr>
      <w:rPr>
        <w:rFonts w:cs="Times New Roman"/>
      </w:rPr>
    </w:lvl>
    <w:lvl w:ilvl="7" w:tplc="064E5430">
      <w:start w:val="1"/>
      <w:numFmt w:val="lowerLetter"/>
      <w:lvlText w:val="%8."/>
      <w:lvlJc w:val="left"/>
      <w:pPr>
        <w:ind w:left="5760" w:hanging="360"/>
      </w:pPr>
      <w:rPr>
        <w:rFonts w:cs="Times New Roman"/>
      </w:rPr>
    </w:lvl>
    <w:lvl w:ilvl="8" w:tplc="3822C49A">
      <w:start w:val="1"/>
      <w:numFmt w:val="lowerRoman"/>
      <w:lvlText w:val="%9."/>
      <w:lvlJc w:val="right"/>
      <w:pPr>
        <w:ind w:left="6480" w:hanging="180"/>
      </w:pPr>
      <w:rPr>
        <w:rFonts w:cs="Times New Roman"/>
      </w:rPr>
    </w:lvl>
  </w:abstractNum>
  <w:abstractNum w:abstractNumId="4">
    <w:nsid w:val="19B153B8"/>
    <w:multiLevelType w:val="hybridMultilevel"/>
    <w:tmpl w:val="FFFFFFFF"/>
    <w:lvl w:ilvl="0" w:tplc="5F3CF472">
      <w:start w:val="1"/>
      <w:numFmt w:val="lowerLetter"/>
      <w:lvlText w:val="%1."/>
      <w:lvlJc w:val="left"/>
      <w:pPr>
        <w:ind w:left="720" w:hanging="360"/>
      </w:pPr>
      <w:rPr>
        <w:rFonts w:cs="Times New Roman" w:hint="default"/>
      </w:rPr>
    </w:lvl>
    <w:lvl w:ilvl="1" w:tplc="65C0D7F6" w:tentative="1">
      <w:start w:val="1"/>
      <w:numFmt w:val="lowerLetter"/>
      <w:lvlText w:val="%2."/>
      <w:lvlJc w:val="left"/>
      <w:pPr>
        <w:ind w:left="1440" w:hanging="360"/>
      </w:pPr>
      <w:rPr>
        <w:rFonts w:cs="Times New Roman"/>
      </w:rPr>
    </w:lvl>
    <w:lvl w:ilvl="2" w:tplc="7F70819E" w:tentative="1">
      <w:start w:val="1"/>
      <w:numFmt w:val="lowerRoman"/>
      <w:lvlText w:val="%3."/>
      <w:lvlJc w:val="right"/>
      <w:pPr>
        <w:ind w:left="2160" w:hanging="180"/>
      </w:pPr>
      <w:rPr>
        <w:rFonts w:cs="Times New Roman"/>
      </w:rPr>
    </w:lvl>
    <w:lvl w:ilvl="3" w:tplc="2964265E" w:tentative="1">
      <w:start w:val="1"/>
      <w:numFmt w:val="decimal"/>
      <w:lvlText w:val="%4."/>
      <w:lvlJc w:val="left"/>
      <w:pPr>
        <w:ind w:left="2880" w:hanging="360"/>
      </w:pPr>
      <w:rPr>
        <w:rFonts w:cs="Times New Roman"/>
      </w:rPr>
    </w:lvl>
    <w:lvl w:ilvl="4" w:tplc="4F143A8E" w:tentative="1">
      <w:start w:val="1"/>
      <w:numFmt w:val="lowerLetter"/>
      <w:lvlText w:val="%5."/>
      <w:lvlJc w:val="left"/>
      <w:pPr>
        <w:ind w:left="3600" w:hanging="360"/>
      </w:pPr>
      <w:rPr>
        <w:rFonts w:cs="Times New Roman"/>
      </w:rPr>
    </w:lvl>
    <w:lvl w:ilvl="5" w:tplc="D93A07F4" w:tentative="1">
      <w:start w:val="1"/>
      <w:numFmt w:val="lowerRoman"/>
      <w:lvlText w:val="%6."/>
      <w:lvlJc w:val="right"/>
      <w:pPr>
        <w:ind w:left="4320" w:hanging="180"/>
      </w:pPr>
      <w:rPr>
        <w:rFonts w:cs="Times New Roman"/>
      </w:rPr>
    </w:lvl>
    <w:lvl w:ilvl="6" w:tplc="64163982" w:tentative="1">
      <w:start w:val="1"/>
      <w:numFmt w:val="decimal"/>
      <w:lvlText w:val="%7."/>
      <w:lvlJc w:val="left"/>
      <w:pPr>
        <w:ind w:left="5040" w:hanging="360"/>
      </w:pPr>
      <w:rPr>
        <w:rFonts w:cs="Times New Roman"/>
      </w:rPr>
    </w:lvl>
    <w:lvl w:ilvl="7" w:tplc="8BE087E4" w:tentative="1">
      <w:start w:val="1"/>
      <w:numFmt w:val="lowerLetter"/>
      <w:lvlText w:val="%8."/>
      <w:lvlJc w:val="left"/>
      <w:pPr>
        <w:ind w:left="5760" w:hanging="360"/>
      </w:pPr>
      <w:rPr>
        <w:rFonts w:cs="Times New Roman"/>
      </w:rPr>
    </w:lvl>
    <w:lvl w:ilvl="8" w:tplc="DF9869F6" w:tentative="1">
      <w:start w:val="1"/>
      <w:numFmt w:val="lowerRoman"/>
      <w:lvlText w:val="%9."/>
      <w:lvlJc w:val="right"/>
      <w:pPr>
        <w:ind w:left="6480" w:hanging="180"/>
      </w:pPr>
      <w:rPr>
        <w:rFonts w:cs="Times New Roman"/>
      </w:rPr>
    </w:lvl>
  </w:abstractNum>
  <w:abstractNum w:abstractNumId="5">
    <w:nsid w:val="209648C4"/>
    <w:multiLevelType w:val="multilevel"/>
    <w:tmpl w:val="FFFFFFFF"/>
    <w:lvl w:ilvl="0">
      <w:start w:val="1"/>
      <w:numFmt w:val="lowerLetter"/>
      <w:lvlText w:val="%1."/>
      <w:lvlJc w:val="left"/>
      <w:pPr>
        <w:ind w:left="786" w:hanging="360"/>
      </w:pPr>
      <w:rPr>
        <w:rFonts w:cs="Times New Roman" w:hint="default"/>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upperLetter"/>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6">
    <w:nsid w:val="23C73681"/>
    <w:multiLevelType w:val="multilevel"/>
    <w:tmpl w:val="FFFFFFFF"/>
    <w:lvl w:ilvl="0">
      <w:start w:val="1"/>
      <w:numFmt w:val="decimal"/>
      <w:pStyle w:val="Alishlah21heading1"/>
      <w:lvlText w:val="%1."/>
      <w:lvlJc w:val="left"/>
      <w:pPr>
        <w:ind w:left="720" w:hanging="360"/>
      </w:pPr>
      <w:rPr>
        <w:rFonts w:cs="Times New Roman"/>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7">
    <w:nsid w:val="250A245F"/>
    <w:multiLevelType w:val="hybridMultilevel"/>
    <w:tmpl w:val="FFFFFFFF"/>
    <w:lvl w:ilvl="0" w:tplc="9EDAB474">
      <w:start w:val="1"/>
      <w:numFmt w:val="decimal"/>
      <w:lvlText w:val="%1."/>
      <w:lvlJc w:val="left"/>
      <w:pPr>
        <w:ind w:left="420" w:hanging="420"/>
      </w:pPr>
      <w:rPr>
        <w:rFonts w:cs="Times New Roman" w:hint="default"/>
      </w:rPr>
    </w:lvl>
    <w:lvl w:ilvl="1" w:tplc="7E68F7C4" w:tentative="1">
      <w:start w:val="1"/>
      <w:numFmt w:val="lowerLetter"/>
      <w:lvlText w:val="%2."/>
      <w:lvlJc w:val="left"/>
      <w:pPr>
        <w:ind w:left="1080" w:hanging="360"/>
      </w:pPr>
      <w:rPr>
        <w:rFonts w:cs="Times New Roman"/>
      </w:rPr>
    </w:lvl>
    <w:lvl w:ilvl="2" w:tplc="BAC6E814" w:tentative="1">
      <w:start w:val="1"/>
      <w:numFmt w:val="lowerRoman"/>
      <w:lvlText w:val="%3."/>
      <w:lvlJc w:val="right"/>
      <w:pPr>
        <w:ind w:left="1800" w:hanging="180"/>
      </w:pPr>
      <w:rPr>
        <w:rFonts w:cs="Times New Roman"/>
      </w:rPr>
    </w:lvl>
    <w:lvl w:ilvl="3" w:tplc="04AC7AEA" w:tentative="1">
      <w:start w:val="1"/>
      <w:numFmt w:val="decimal"/>
      <w:lvlText w:val="%4."/>
      <w:lvlJc w:val="left"/>
      <w:pPr>
        <w:ind w:left="2520" w:hanging="360"/>
      </w:pPr>
      <w:rPr>
        <w:rFonts w:cs="Times New Roman"/>
      </w:rPr>
    </w:lvl>
    <w:lvl w:ilvl="4" w:tplc="E54C21A4" w:tentative="1">
      <w:start w:val="1"/>
      <w:numFmt w:val="lowerLetter"/>
      <w:lvlText w:val="%5."/>
      <w:lvlJc w:val="left"/>
      <w:pPr>
        <w:ind w:left="3240" w:hanging="360"/>
      </w:pPr>
      <w:rPr>
        <w:rFonts w:cs="Times New Roman"/>
      </w:rPr>
    </w:lvl>
    <w:lvl w:ilvl="5" w:tplc="EA6A69F0" w:tentative="1">
      <w:start w:val="1"/>
      <w:numFmt w:val="lowerRoman"/>
      <w:lvlText w:val="%6."/>
      <w:lvlJc w:val="right"/>
      <w:pPr>
        <w:ind w:left="3960" w:hanging="180"/>
      </w:pPr>
      <w:rPr>
        <w:rFonts w:cs="Times New Roman"/>
      </w:rPr>
    </w:lvl>
    <w:lvl w:ilvl="6" w:tplc="824ACC30" w:tentative="1">
      <w:start w:val="1"/>
      <w:numFmt w:val="decimal"/>
      <w:lvlText w:val="%7."/>
      <w:lvlJc w:val="left"/>
      <w:pPr>
        <w:ind w:left="4680" w:hanging="360"/>
      </w:pPr>
      <w:rPr>
        <w:rFonts w:cs="Times New Roman"/>
      </w:rPr>
    </w:lvl>
    <w:lvl w:ilvl="7" w:tplc="F9BC5AC4" w:tentative="1">
      <w:start w:val="1"/>
      <w:numFmt w:val="lowerLetter"/>
      <w:lvlText w:val="%8."/>
      <w:lvlJc w:val="left"/>
      <w:pPr>
        <w:ind w:left="5400" w:hanging="360"/>
      </w:pPr>
      <w:rPr>
        <w:rFonts w:cs="Times New Roman"/>
      </w:rPr>
    </w:lvl>
    <w:lvl w:ilvl="8" w:tplc="868E74DA" w:tentative="1">
      <w:start w:val="1"/>
      <w:numFmt w:val="lowerRoman"/>
      <w:lvlText w:val="%9."/>
      <w:lvlJc w:val="right"/>
      <w:pPr>
        <w:ind w:left="6120" w:hanging="180"/>
      </w:pPr>
      <w:rPr>
        <w:rFonts w:cs="Times New Roman"/>
      </w:rPr>
    </w:lvl>
  </w:abstractNum>
  <w:abstractNum w:abstractNumId="8">
    <w:nsid w:val="252B2D44"/>
    <w:multiLevelType w:val="hybridMultilevel"/>
    <w:tmpl w:val="FFFFFFFF"/>
    <w:lvl w:ilvl="0" w:tplc="3934D11C">
      <w:start w:val="1"/>
      <w:numFmt w:val="lowerLetter"/>
      <w:lvlText w:val="%1."/>
      <w:lvlJc w:val="left"/>
      <w:pPr>
        <w:ind w:left="785" w:hanging="360"/>
      </w:pPr>
      <w:rPr>
        <w:rFonts w:cs="Times New Roman" w:hint="default"/>
      </w:rPr>
    </w:lvl>
    <w:lvl w:ilvl="1" w:tplc="9F98177C" w:tentative="1">
      <w:start w:val="1"/>
      <w:numFmt w:val="lowerLetter"/>
      <w:lvlText w:val="%2."/>
      <w:lvlJc w:val="left"/>
      <w:pPr>
        <w:ind w:left="1505" w:hanging="360"/>
      </w:pPr>
      <w:rPr>
        <w:rFonts w:cs="Times New Roman"/>
      </w:rPr>
    </w:lvl>
    <w:lvl w:ilvl="2" w:tplc="4D2AAE8E" w:tentative="1">
      <w:start w:val="1"/>
      <w:numFmt w:val="lowerRoman"/>
      <w:lvlText w:val="%3."/>
      <w:lvlJc w:val="right"/>
      <w:pPr>
        <w:ind w:left="2225" w:hanging="180"/>
      </w:pPr>
      <w:rPr>
        <w:rFonts w:cs="Times New Roman"/>
      </w:rPr>
    </w:lvl>
    <w:lvl w:ilvl="3" w:tplc="F2705824" w:tentative="1">
      <w:start w:val="1"/>
      <w:numFmt w:val="decimal"/>
      <w:lvlText w:val="%4."/>
      <w:lvlJc w:val="left"/>
      <w:pPr>
        <w:ind w:left="2945" w:hanging="360"/>
      </w:pPr>
      <w:rPr>
        <w:rFonts w:cs="Times New Roman"/>
      </w:rPr>
    </w:lvl>
    <w:lvl w:ilvl="4" w:tplc="C61481D8" w:tentative="1">
      <w:start w:val="1"/>
      <w:numFmt w:val="lowerLetter"/>
      <w:lvlText w:val="%5."/>
      <w:lvlJc w:val="left"/>
      <w:pPr>
        <w:ind w:left="3665" w:hanging="360"/>
      </w:pPr>
      <w:rPr>
        <w:rFonts w:cs="Times New Roman"/>
      </w:rPr>
    </w:lvl>
    <w:lvl w:ilvl="5" w:tplc="C81A2992" w:tentative="1">
      <w:start w:val="1"/>
      <w:numFmt w:val="lowerRoman"/>
      <w:lvlText w:val="%6."/>
      <w:lvlJc w:val="right"/>
      <w:pPr>
        <w:ind w:left="4385" w:hanging="180"/>
      </w:pPr>
      <w:rPr>
        <w:rFonts w:cs="Times New Roman"/>
      </w:rPr>
    </w:lvl>
    <w:lvl w:ilvl="6" w:tplc="1E2CFCEA" w:tentative="1">
      <w:start w:val="1"/>
      <w:numFmt w:val="decimal"/>
      <w:lvlText w:val="%7."/>
      <w:lvlJc w:val="left"/>
      <w:pPr>
        <w:ind w:left="5105" w:hanging="360"/>
      </w:pPr>
      <w:rPr>
        <w:rFonts w:cs="Times New Roman"/>
      </w:rPr>
    </w:lvl>
    <w:lvl w:ilvl="7" w:tplc="492A47DC" w:tentative="1">
      <w:start w:val="1"/>
      <w:numFmt w:val="lowerLetter"/>
      <w:lvlText w:val="%8."/>
      <w:lvlJc w:val="left"/>
      <w:pPr>
        <w:ind w:left="5825" w:hanging="360"/>
      </w:pPr>
      <w:rPr>
        <w:rFonts w:cs="Times New Roman"/>
      </w:rPr>
    </w:lvl>
    <w:lvl w:ilvl="8" w:tplc="15C0C10C" w:tentative="1">
      <w:start w:val="1"/>
      <w:numFmt w:val="lowerRoman"/>
      <w:lvlText w:val="%9."/>
      <w:lvlJc w:val="right"/>
      <w:pPr>
        <w:ind w:left="6545" w:hanging="180"/>
      </w:pPr>
      <w:rPr>
        <w:rFonts w:cs="Times New Roman"/>
      </w:rPr>
    </w:lvl>
  </w:abstractNum>
  <w:abstractNum w:abstractNumId="9">
    <w:nsid w:val="2805051C"/>
    <w:multiLevelType w:val="hybridMultilevel"/>
    <w:tmpl w:val="FFFFFFFF"/>
    <w:lvl w:ilvl="0" w:tplc="5FCA41CA">
      <w:start w:val="1"/>
      <w:numFmt w:val="decimal"/>
      <w:pStyle w:val="Alishlah37itemize"/>
      <w:lvlText w:val="%1."/>
      <w:lvlJc w:val="left"/>
      <w:pPr>
        <w:ind w:left="1429" w:hanging="360"/>
      </w:pPr>
      <w:rPr>
        <w:rFonts w:cs="Times New Roman"/>
      </w:rPr>
    </w:lvl>
    <w:lvl w:ilvl="1" w:tplc="4CD84C36" w:tentative="1">
      <w:start w:val="1"/>
      <w:numFmt w:val="lowerLetter"/>
      <w:lvlText w:val="%2."/>
      <w:lvlJc w:val="left"/>
      <w:pPr>
        <w:ind w:left="2149" w:hanging="360"/>
      </w:pPr>
      <w:rPr>
        <w:rFonts w:cs="Times New Roman"/>
      </w:rPr>
    </w:lvl>
    <w:lvl w:ilvl="2" w:tplc="2C7E46D6" w:tentative="1">
      <w:start w:val="1"/>
      <w:numFmt w:val="lowerRoman"/>
      <w:lvlText w:val="%3."/>
      <w:lvlJc w:val="right"/>
      <w:pPr>
        <w:ind w:left="2869" w:hanging="180"/>
      </w:pPr>
      <w:rPr>
        <w:rFonts w:cs="Times New Roman"/>
      </w:rPr>
    </w:lvl>
    <w:lvl w:ilvl="3" w:tplc="E682C3B4" w:tentative="1">
      <w:start w:val="1"/>
      <w:numFmt w:val="decimal"/>
      <w:lvlText w:val="%4."/>
      <w:lvlJc w:val="left"/>
      <w:pPr>
        <w:ind w:left="3589" w:hanging="360"/>
      </w:pPr>
      <w:rPr>
        <w:rFonts w:cs="Times New Roman"/>
      </w:rPr>
    </w:lvl>
    <w:lvl w:ilvl="4" w:tplc="72AC9006" w:tentative="1">
      <w:start w:val="1"/>
      <w:numFmt w:val="lowerLetter"/>
      <w:lvlText w:val="%5."/>
      <w:lvlJc w:val="left"/>
      <w:pPr>
        <w:ind w:left="4309" w:hanging="360"/>
      </w:pPr>
      <w:rPr>
        <w:rFonts w:cs="Times New Roman"/>
      </w:rPr>
    </w:lvl>
    <w:lvl w:ilvl="5" w:tplc="D1CE8A16" w:tentative="1">
      <w:start w:val="1"/>
      <w:numFmt w:val="lowerRoman"/>
      <w:lvlText w:val="%6."/>
      <w:lvlJc w:val="right"/>
      <w:pPr>
        <w:ind w:left="5029" w:hanging="180"/>
      </w:pPr>
      <w:rPr>
        <w:rFonts w:cs="Times New Roman"/>
      </w:rPr>
    </w:lvl>
    <w:lvl w:ilvl="6" w:tplc="16787BFC" w:tentative="1">
      <w:start w:val="1"/>
      <w:numFmt w:val="decimal"/>
      <w:lvlText w:val="%7."/>
      <w:lvlJc w:val="left"/>
      <w:pPr>
        <w:ind w:left="5749" w:hanging="360"/>
      </w:pPr>
      <w:rPr>
        <w:rFonts w:cs="Times New Roman"/>
      </w:rPr>
    </w:lvl>
    <w:lvl w:ilvl="7" w:tplc="0E5077B2" w:tentative="1">
      <w:start w:val="1"/>
      <w:numFmt w:val="lowerLetter"/>
      <w:lvlText w:val="%8."/>
      <w:lvlJc w:val="left"/>
      <w:pPr>
        <w:ind w:left="6469" w:hanging="360"/>
      </w:pPr>
      <w:rPr>
        <w:rFonts w:cs="Times New Roman"/>
      </w:rPr>
    </w:lvl>
    <w:lvl w:ilvl="8" w:tplc="65CCDFF4" w:tentative="1">
      <w:start w:val="1"/>
      <w:numFmt w:val="lowerRoman"/>
      <w:lvlText w:val="%9."/>
      <w:lvlJc w:val="right"/>
      <w:pPr>
        <w:ind w:left="7189" w:hanging="180"/>
      </w:pPr>
      <w:rPr>
        <w:rFonts w:cs="Times New Roman"/>
      </w:rPr>
    </w:lvl>
  </w:abstractNum>
  <w:abstractNum w:abstractNumId="10">
    <w:nsid w:val="369A6535"/>
    <w:multiLevelType w:val="hybridMultilevel"/>
    <w:tmpl w:val="FFFFFFFF"/>
    <w:lvl w:ilvl="0" w:tplc="36EA0970">
      <w:start w:val="1"/>
      <w:numFmt w:val="bullet"/>
      <w:pStyle w:val="Alishlah38bullet"/>
      <w:lvlText w:val=""/>
      <w:lvlJc w:val="left"/>
      <w:pPr>
        <w:ind w:left="1429" w:hanging="360"/>
      </w:pPr>
      <w:rPr>
        <w:rFonts w:ascii="Symbol" w:hAnsi="Symbol" w:hint="default"/>
      </w:rPr>
    </w:lvl>
    <w:lvl w:ilvl="1" w:tplc="50BEF44C" w:tentative="1">
      <w:start w:val="1"/>
      <w:numFmt w:val="bullet"/>
      <w:lvlText w:val="o"/>
      <w:lvlJc w:val="left"/>
      <w:pPr>
        <w:ind w:left="2149" w:hanging="360"/>
      </w:pPr>
      <w:rPr>
        <w:rFonts w:ascii="Courier New" w:hAnsi="Courier New" w:hint="default"/>
      </w:rPr>
    </w:lvl>
    <w:lvl w:ilvl="2" w:tplc="B7CC7C28" w:tentative="1">
      <w:start w:val="1"/>
      <w:numFmt w:val="bullet"/>
      <w:lvlText w:val=""/>
      <w:lvlJc w:val="left"/>
      <w:pPr>
        <w:ind w:left="2869" w:hanging="360"/>
      </w:pPr>
      <w:rPr>
        <w:rFonts w:ascii="Wingdings" w:hAnsi="Wingdings" w:hint="default"/>
      </w:rPr>
    </w:lvl>
    <w:lvl w:ilvl="3" w:tplc="8032798C" w:tentative="1">
      <w:start w:val="1"/>
      <w:numFmt w:val="bullet"/>
      <w:lvlText w:val=""/>
      <w:lvlJc w:val="left"/>
      <w:pPr>
        <w:ind w:left="3589" w:hanging="360"/>
      </w:pPr>
      <w:rPr>
        <w:rFonts w:ascii="Symbol" w:hAnsi="Symbol" w:hint="default"/>
      </w:rPr>
    </w:lvl>
    <w:lvl w:ilvl="4" w:tplc="4AE48866" w:tentative="1">
      <w:start w:val="1"/>
      <w:numFmt w:val="bullet"/>
      <w:lvlText w:val="o"/>
      <w:lvlJc w:val="left"/>
      <w:pPr>
        <w:ind w:left="4309" w:hanging="360"/>
      </w:pPr>
      <w:rPr>
        <w:rFonts w:ascii="Courier New" w:hAnsi="Courier New" w:hint="default"/>
      </w:rPr>
    </w:lvl>
    <w:lvl w:ilvl="5" w:tplc="3F02B926" w:tentative="1">
      <w:start w:val="1"/>
      <w:numFmt w:val="bullet"/>
      <w:lvlText w:val=""/>
      <w:lvlJc w:val="left"/>
      <w:pPr>
        <w:ind w:left="5029" w:hanging="360"/>
      </w:pPr>
      <w:rPr>
        <w:rFonts w:ascii="Wingdings" w:hAnsi="Wingdings" w:hint="default"/>
      </w:rPr>
    </w:lvl>
    <w:lvl w:ilvl="6" w:tplc="9384AE48" w:tentative="1">
      <w:start w:val="1"/>
      <w:numFmt w:val="bullet"/>
      <w:lvlText w:val=""/>
      <w:lvlJc w:val="left"/>
      <w:pPr>
        <w:ind w:left="5749" w:hanging="360"/>
      </w:pPr>
      <w:rPr>
        <w:rFonts w:ascii="Symbol" w:hAnsi="Symbol" w:hint="default"/>
      </w:rPr>
    </w:lvl>
    <w:lvl w:ilvl="7" w:tplc="986CF596" w:tentative="1">
      <w:start w:val="1"/>
      <w:numFmt w:val="bullet"/>
      <w:lvlText w:val="o"/>
      <w:lvlJc w:val="left"/>
      <w:pPr>
        <w:ind w:left="6469" w:hanging="360"/>
      </w:pPr>
      <w:rPr>
        <w:rFonts w:ascii="Courier New" w:hAnsi="Courier New" w:hint="default"/>
      </w:rPr>
    </w:lvl>
    <w:lvl w:ilvl="8" w:tplc="2DFC63A4" w:tentative="1">
      <w:start w:val="1"/>
      <w:numFmt w:val="bullet"/>
      <w:lvlText w:val=""/>
      <w:lvlJc w:val="left"/>
      <w:pPr>
        <w:ind w:left="7189" w:hanging="360"/>
      </w:pPr>
      <w:rPr>
        <w:rFonts w:ascii="Wingdings" w:hAnsi="Wingdings" w:hint="default"/>
      </w:rPr>
    </w:lvl>
  </w:abstractNum>
  <w:abstractNum w:abstractNumId="11">
    <w:nsid w:val="3BC36D1C"/>
    <w:multiLevelType w:val="hybridMultilevel"/>
    <w:tmpl w:val="FFFFFFFF"/>
    <w:lvl w:ilvl="0" w:tplc="90EEA4E6">
      <w:start w:val="1"/>
      <w:numFmt w:val="decimal"/>
      <w:lvlText w:val="%1."/>
      <w:lvlJc w:val="left"/>
      <w:pPr>
        <w:ind w:left="720" w:hanging="360"/>
      </w:pPr>
      <w:rPr>
        <w:rFonts w:cs="Times New Roman" w:hint="default"/>
      </w:rPr>
    </w:lvl>
    <w:lvl w:ilvl="1" w:tplc="80C6A6D2" w:tentative="1">
      <w:start w:val="1"/>
      <w:numFmt w:val="lowerLetter"/>
      <w:lvlText w:val="%2."/>
      <w:lvlJc w:val="left"/>
      <w:pPr>
        <w:ind w:left="1440" w:hanging="360"/>
      </w:pPr>
      <w:rPr>
        <w:rFonts w:cs="Times New Roman"/>
      </w:rPr>
    </w:lvl>
    <w:lvl w:ilvl="2" w:tplc="3F74C54E" w:tentative="1">
      <w:start w:val="1"/>
      <w:numFmt w:val="lowerRoman"/>
      <w:lvlText w:val="%3."/>
      <w:lvlJc w:val="right"/>
      <w:pPr>
        <w:ind w:left="2160" w:hanging="180"/>
      </w:pPr>
      <w:rPr>
        <w:rFonts w:cs="Times New Roman"/>
      </w:rPr>
    </w:lvl>
    <w:lvl w:ilvl="3" w:tplc="BAC84048" w:tentative="1">
      <w:start w:val="1"/>
      <w:numFmt w:val="decimal"/>
      <w:lvlText w:val="%4."/>
      <w:lvlJc w:val="left"/>
      <w:pPr>
        <w:ind w:left="2880" w:hanging="360"/>
      </w:pPr>
      <w:rPr>
        <w:rFonts w:cs="Times New Roman"/>
      </w:rPr>
    </w:lvl>
    <w:lvl w:ilvl="4" w:tplc="56789192" w:tentative="1">
      <w:start w:val="1"/>
      <w:numFmt w:val="lowerLetter"/>
      <w:lvlText w:val="%5."/>
      <w:lvlJc w:val="left"/>
      <w:pPr>
        <w:ind w:left="3600" w:hanging="360"/>
      </w:pPr>
      <w:rPr>
        <w:rFonts w:cs="Times New Roman"/>
      </w:rPr>
    </w:lvl>
    <w:lvl w:ilvl="5" w:tplc="21D0B246" w:tentative="1">
      <w:start w:val="1"/>
      <w:numFmt w:val="lowerRoman"/>
      <w:lvlText w:val="%6."/>
      <w:lvlJc w:val="right"/>
      <w:pPr>
        <w:ind w:left="4320" w:hanging="180"/>
      </w:pPr>
      <w:rPr>
        <w:rFonts w:cs="Times New Roman"/>
      </w:rPr>
    </w:lvl>
    <w:lvl w:ilvl="6" w:tplc="B78624A4" w:tentative="1">
      <w:start w:val="1"/>
      <w:numFmt w:val="decimal"/>
      <w:lvlText w:val="%7."/>
      <w:lvlJc w:val="left"/>
      <w:pPr>
        <w:ind w:left="5040" w:hanging="360"/>
      </w:pPr>
      <w:rPr>
        <w:rFonts w:cs="Times New Roman"/>
      </w:rPr>
    </w:lvl>
    <w:lvl w:ilvl="7" w:tplc="0CC665CA" w:tentative="1">
      <w:start w:val="1"/>
      <w:numFmt w:val="lowerLetter"/>
      <w:lvlText w:val="%8."/>
      <w:lvlJc w:val="left"/>
      <w:pPr>
        <w:ind w:left="5760" w:hanging="360"/>
      </w:pPr>
      <w:rPr>
        <w:rFonts w:cs="Times New Roman"/>
      </w:rPr>
    </w:lvl>
    <w:lvl w:ilvl="8" w:tplc="7C8C877E" w:tentative="1">
      <w:start w:val="1"/>
      <w:numFmt w:val="lowerRoman"/>
      <w:lvlText w:val="%9."/>
      <w:lvlJc w:val="right"/>
      <w:pPr>
        <w:ind w:left="6480" w:hanging="180"/>
      </w:pPr>
      <w:rPr>
        <w:rFonts w:cs="Times New Roman"/>
      </w:rPr>
    </w:lvl>
  </w:abstractNum>
  <w:abstractNum w:abstractNumId="12">
    <w:nsid w:val="49A035D2"/>
    <w:multiLevelType w:val="hybridMultilevel"/>
    <w:tmpl w:val="FFFFFFFF"/>
    <w:lvl w:ilvl="0" w:tplc="B64E65EA">
      <w:start w:val="1"/>
      <w:numFmt w:val="lowerLetter"/>
      <w:lvlText w:val="%1."/>
      <w:lvlJc w:val="left"/>
      <w:pPr>
        <w:ind w:left="720" w:hanging="360"/>
      </w:pPr>
      <w:rPr>
        <w:rFonts w:cs="Times New Roman" w:hint="default"/>
      </w:rPr>
    </w:lvl>
    <w:lvl w:ilvl="1" w:tplc="388A52DA" w:tentative="1">
      <w:start w:val="1"/>
      <w:numFmt w:val="lowerLetter"/>
      <w:lvlText w:val="%2."/>
      <w:lvlJc w:val="left"/>
      <w:pPr>
        <w:ind w:left="1440" w:hanging="360"/>
      </w:pPr>
      <w:rPr>
        <w:rFonts w:cs="Times New Roman"/>
      </w:rPr>
    </w:lvl>
    <w:lvl w:ilvl="2" w:tplc="109C9CA6" w:tentative="1">
      <w:start w:val="1"/>
      <w:numFmt w:val="lowerRoman"/>
      <w:lvlText w:val="%3."/>
      <w:lvlJc w:val="right"/>
      <w:pPr>
        <w:ind w:left="2160" w:hanging="180"/>
      </w:pPr>
      <w:rPr>
        <w:rFonts w:cs="Times New Roman"/>
      </w:rPr>
    </w:lvl>
    <w:lvl w:ilvl="3" w:tplc="0ACC8890" w:tentative="1">
      <w:start w:val="1"/>
      <w:numFmt w:val="decimal"/>
      <w:lvlText w:val="%4."/>
      <w:lvlJc w:val="left"/>
      <w:pPr>
        <w:ind w:left="2880" w:hanging="360"/>
      </w:pPr>
      <w:rPr>
        <w:rFonts w:cs="Times New Roman"/>
      </w:rPr>
    </w:lvl>
    <w:lvl w:ilvl="4" w:tplc="7430ECB0" w:tentative="1">
      <w:start w:val="1"/>
      <w:numFmt w:val="lowerLetter"/>
      <w:lvlText w:val="%5."/>
      <w:lvlJc w:val="left"/>
      <w:pPr>
        <w:ind w:left="3600" w:hanging="360"/>
      </w:pPr>
      <w:rPr>
        <w:rFonts w:cs="Times New Roman"/>
      </w:rPr>
    </w:lvl>
    <w:lvl w:ilvl="5" w:tplc="A080F572" w:tentative="1">
      <w:start w:val="1"/>
      <w:numFmt w:val="lowerRoman"/>
      <w:lvlText w:val="%6."/>
      <w:lvlJc w:val="right"/>
      <w:pPr>
        <w:ind w:left="4320" w:hanging="180"/>
      </w:pPr>
      <w:rPr>
        <w:rFonts w:cs="Times New Roman"/>
      </w:rPr>
    </w:lvl>
    <w:lvl w:ilvl="6" w:tplc="B832D264" w:tentative="1">
      <w:start w:val="1"/>
      <w:numFmt w:val="decimal"/>
      <w:lvlText w:val="%7."/>
      <w:lvlJc w:val="left"/>
      <w:pPr>
        <w:ind w:left="5040" w:hanging="360"/>
      </w:pPr>
      <w:rPr>
        <w:rFonts w:cs="Times New Roman"/>
      </w:rPr>
    </w:lvl>
    <w:lvl w:ilvl="7" w:tplc="DDA816E6" w:tentative="1">
      <w:start w:val="1"/>
      <w:numFmt w:val="lowerLetter"/>
      <w:lvlText w:val="%8."/>
      <w:lvlJc w:val="left"/>
      <w:pPr>
        <w:ind w:left="5760" w:hanging="360"/>
      </w:pPr>
      <w:rPr>
        <w:rFonts w:cs="Times New Roman"/>
      </w:rPr>
    </w:lvl>
    <w:lvl w:ilvl="8" w:tplc="C48A598C" w:tentative="1">
      <w:start w:val="1"/>
      <w:numFmt w:val="lowerRoman"/>
      <w:lvlText w:val="%9."/>
      <w:lvlJc w:val="right"/>
      <w:pPr>
        <w:ind w:left="6480" w:hanging="180"/>
      </w:pPr>
      <w:rPr>
        <w:rFonts w:cs="Times New Roman"/>
      </w:rPr>
    </w:lvl>
  </w:abstractNum>
  <w:abstractNum w:abstractNumId="13">
    <w:nsid w:val="57C613F5"/>
    <w:multiLevelType w:val="hybridMultilevel"/>
    <w:tmpl w:val="FFFFFFFF"/>
    <w:lvl w:ilvl="0" w:tplc="ED4CFE56">
      <w:start w:val="1"/>
      <w:numFmt w:val="lowerLetter"/>
      <w:lvlText w:val="%1."/>
      <w:lvlJc w:val="left"/>
      <w:pPr>
        <w:ind w:left="420" w:hanging="360"/>
      </w:pPr>
      <w:rPr>
        <w:rFonts w:cs="Times New Roman"/>
        <w:sz w:val="24"/>
        <w:szCs w:val="24"/>
      </w:rPr>
    </w:lvl>
    <w:lvl w:ilvl="1" w:tplc="AB960A28">
      <w:start w:val="1"/>
      <w:numFmt w:val="lowerLetter"/>
      <w:lvlText w:val="%2."/>
      <w:lvlJc w:val="left"/>
      <w:pPr>
        <w:ind w:left="1140" w:hanging="360"/>
      </w:pPr>
      <w:rPr>
        <w:rFonts w:cs="Times New Roman"/>
      </w:rPr>
    </w:lvl>
    <w:lvl w:ilvl="2" w:tplc="EE363870">
      <w:start w:val="1"/>
      <w:numFmt w:val="lowerRoman"/>
      <w:lvlText w:val="%3."/>
      <w:lvlJc w:val="right"/>
      <w:pPr>
        <w:ind w:left="1860" w:hanging="180"/>
      </w:pPr>
      <w:rPr>
        <w:rFonts w:cs="Times New Roman"/>
      </w:rPr>
    </w:lvl>
    <w:lvl w:ilvl="3" w:tplc="A7FA8B12">
      <w:start w:val="1"/>
      <w:numFmt w:val="decimal"/>
      <w:lvlText w:val="%4."/>
      <w:lvlJc w:val="left"/>
      <w:pPr>
        <w:ind w:left="2580" w:hanging="360"/>
      </w:pPr>
      <w:rPr>
        <w:rFonts w:cs="Times New Roman"/>
      </w:rPr>
    </w:lvl>
    <w:lvl w:ilvl="4" w:tplc="9AF4F1AC">
      <w:start w:val="1"/>
      <w:numFmt w:val="lowerLetter"/>
      <w:lvlText w:val="%5."/>
      <w:lvlJc w:val="left"/>
      <w:pPr>
        <w:ind w:left="3300" w:hanging="360"/>
      </w:pPr>
      <w:rPr>
        <w:rFonts w:cs="Times New Roman"/>
      </w:rPr>
    </w:lvl>
    <w:lvl w:ilvl="5" w:tplc="FC42327E">
      <w:start w:val="1"/>
      <w:numFmt w:val="lowerRoman"/>
      <w:lvlText w:val="%6."/>
      <w:lvlJc w:val="right"/>
      <w:pPr>
        <w:ind w:left="4020" w:hanging="180"/>
      </w:pPr>
      <w:rPr>
        <w:rFonts w:cs="Times New Roman"/>
      </w:rPr>
    </w:lvl>
    <w:lvl w:ilvl="6" w:tplc="6BB216CE">
      <w:start w:val="1"/>
      <w:numFmt w:val="decimal"/>
      <w:lvlText w:val="%7."/>
      <w:lvlJc w:val="left"/>
      <w:pPr>
        <w:ind w:left="4740" w:hanging="360"/>
      </w:pPr>
      <w:rPr>
        <w:rFonts w:cs="Times New Roman"/>
      </w:rPr>
    </w:lvl>
    <w:lvl w:ilvl="7" w:tplc="4866E688">
      <w:start w:val="1"/>
      <w:numFmt w:val="lowerLetter"/>
      <w:lvlText w:val="%8."/>
      <w:lvlJc w:val="left"/>
      <w:pPr>
        <w:ind w:left="5460" w:hanging="360"/>
      </w:pPr>
      <w:rPr>
        <w:rFonts w:cs="Times New Roman"/>
      </w:rPr>
    </w:lvl>
    <w:lvl w:ilvl="8" w:tplc="81A8847A">
      <w:start w:val="1"/>
      <w:numFmt w:val="lowerRoman"/>
      <w:lvlText w:val="%9."/>
      <w:lvlJc w:val="right"/>
      <w:pPr>
        <w:ind w:left="6180" w:hanging="180"/>
      </w:pPr>
      <w:rPr>
        <w:rFonts w:cs="Times New Roman"/>
      </w:rPr>
    </w:lvl>
  </w:abstractNum>
  <w:abstractNum w:abstractNumId="14">
    <w:nsid w:val="5CB3107E"/>
    <w:multiLevelType w:val="hybridMultilevel"/>
    <w:tmpl w:val="FFFFFFFF"/>
    <w:lvl w:ilvl="0" w:tplc="0CE4C494">
      <w:start w:val="1"/>
      <w:numFmt w:val="decimal"/>
      <w:lvlText w:val="%1."/>
      <w:lvlJc w:val="left"/>
      <w:pPr>
        <w:ind w:left="720" w:hanging="360"/>
      </w:pPr>
      <w:rPr>
        <w:rFonts w:cs="Times New Roman"/>
      </w:rPr>
    </w:lvl>
    <w:lvl w:ilvl="1" w:tplc="021A203C" w:tentative="1">
      <w:start w:val="1"/>
      <w:numFmt w:val="lowerLetter"/>
      <w:lvlText w:val="%2."/>
      <w:lvlJc w:val="left"/>
      <w:pPr>
        <w:ind w:left="1440" w:hanging="360"/>
      </w:pPr>
      <w:rPr>
        <w:rFonts w:cs="Times New Roman"/>
      </w:rPr>
    </w:lvl>
    <w:lvl w:ilvl="2" w:tplc="1E923060" w:tentative="1">
      <w:start w:val="1"/>
      <w:numFmt w:val="lowerRoman"/>
      <w:lvlText w:val="%3."/>
      <w:lvlJc w:val="right"/>
      <w:pPr>
        <w:ind w:left="2160" w:hanging="180"/>
      </w:pPr>
      <w:rPr>
        <w:rFonts w:cs="Times New Roman"/>
      </w:rPr>
    </w:lvl>
    <w:lvl w:ilvl="3" w:tplc="214CADCC" w:tentative="1">
      <w:start w:val="1"/>
      <w:numFmt w:val="decimal"/>
      <w:lvlText w:val="%4."/>
      <w:lvlJc w:val="left"/>
      <w:pPr>
        <w:ind w:left="2880" w:hanging="360"/>
      </w:pPr>
      <w:rPr>
        <w:rFonts w:cs="Times New Roman"/>
      </w:rPr>
    </w:lvl>
    <w:lvl w:ilvl="4" w:tplc="DB5285F2" w:tentative="1">
      <w:start w:val="1"/>
      <w:numFmt w:val="lowerLetter"/>
      <w:lvlText w:val="%5."/>
      <w:lvlJc w:val="left"/>
      <w:pPr>
        <w:ind w:left="3600" w:hanging="360"/>
      </w:pPr>
      <w:rPr>
        <w:rFonts w:cs="Times New Roman"/>
      </w:rPr>
    </w:lvl>
    <w:lvl w:ilvl="5" w:tplc="1180DB36" w:tentative="1">
      <w:start w:val="1"/>
      <w:numFmt w:val="lowerRoman"/>
      <w:lvlText w:val="%6."/>
      <w:lvlJc w:val="right"/>
      <w:pPr>
        <w:ind w:left="4320" w:hanging="180"/>
      </w:pPr>
      <w:rPr>
        <w:rFonts w:cs="Times New Roman"/>
      </w:rPr>
    </w:lvl>
    <w:lvl w:ilvl="6" w:tplc="51E06FE4" w:tentative="1">
      <w:start w:val="1"/>
      <w:numFmt w:val="decimal"/>
      <w:lvlText w:val="%7."/>
      <w:lvlJc w:val="left"/>
      <w:pPr>
        <w:ind w:left="5040" w:hanging="360"/>
      </w:pPr>
      <w:rPr>
        <w:rFonts w:cs="Times New Roman"/>
      </w:rPr>
    </w:lvl>
    <w:lvl w:ilvl="7" w:tplc="DA58FC20" w:tentative="1">
      <w:start w:val="1"/>
      <w:numFmt w:val="lowerLetter"/>
      <w:lvlText w:val="%8."/>
      <w:lvlJc w:val="left"/>
      <w:pPr>
        <w:ind w:left="5760" w:hanging="360"/>
      </w:pPr>
      <w:rPr>
        <w:rFonts w:cs="Times New Roman"/>
      </w:rPr>
    </w:lvl>
    <w:lvl w:ilvl="8" w:tplc="DBD2B318" w:tentative="1">
      <w:start w:val="1"/>
      <w:numFmt w:val="lowerRoman"/>
      <w:lvlText w:val="%9."/>
      <w:lvlJc w:val="right"/>
      <w:pPr>
        <w:ind w:left="6480" w:hanging="180"/>
      </w:pPr>
      <w:rPr>
        <w:rFonts w:cs="Times New Roman"/>
      </w:rPr>
    </w:lvl>
  </w:abstractNum>
  <w:abstractNum w:abstractNumId="15">
    <w:nsid w:val="5E3B49BE"/>
    <w:multiLevelType w:val="hybridMultilevel"/>
    <w:tmpl w:val="FFFFFFFF"/>
    <w:lvl w:ilvl="0" w:tplc="43880652">
      <w:start w:val="2021"/>
      <w:numFmt w:val="bullet"/>
      <w:lvlText w:val="-"/>
      <w:lvlJc w:val="left"/>
      <w:pPr>
        <w:ind w:left="720" w:hanging="360"/>
      </w:pPr>
      <w:rPr>
        <w:rFonts w:ascii="Times New Roman" w:eastAsia="Times New Roman" w:hAnsi="Times New Roman" w:hint="default"/>
      </w:rPr>
    </w:lvl>
    <w:lvl w:ilvl="1" w:tplc="D35611CC">
      <w:start w:val="1"/>
      <w:numFmt w:val="bullet"/>
      <w:lvlText w:val="o"/>
      <w:lvlJc w:val="left"/>
      <w:pPr>
        <w:ind w:left="1440" w:hanging="360"/>
      </w:pPr>
      <w:rPr>
        <w:rFonts w:ascii="Courier New" w:hAnsi="Courier New" w:hint="default"/>
      </w:rPr>
    </w:lvl>
    <w:lvl w:ilvl="2" w:tplc="0EE84BA4">
      <w:start w:val="1"/>
      <w:numFmt w:val="bullet"/>
      <w:lvlText w:val=""/>
      <w:lvlJc w:val="left"/>
      <w:pPr>
        <w:ind w:left="2160" w:hanging="360"/>
      </w:pPr>
      <w:rPr>
        <w:rFonts w:ascii="Wingdings" w:hAnsi="Wingdings" w:hint="default"/>
      </w:rPr>
    </w:lvl>
    <w:lvl w:ilvl="3" w:tplc="5D8AE904">
      <w:start w:val="1"/>
      <w:numFmt w:val="bullet"/>
      <w:lvlText w:val=""/>
      <w:lvlJc w:val="left"/>
      <w:pPr>
        <w:ind w:left="2880" w:hanging="360"/>
      </w:pPr>
      <w:rPr>
        <w:rFonts w:ascii="Symbol" w:hAnsi="Symbol" w:hint="default"/>
      </w:rPr>
    </w:lvl>
    <w:lvl w:ilvl="4" w:tplc="04EC31F4">
      <w:start w:val="1"/>
      <w:numFmt w:val="bullet"/>
      <w:lvlText w:val="o"/>
      <w:lvlJc w:val="left"/>
      <w:pPr>
        <w:ind w:left="3600" w:hanging="360"/>
      </w:pPr>
      <w:rPr>
        <w:rFonts w:ascii="Courier New" w:hAnsi="Courier New" w:hint="default"/>
      </w:rPr>
    </w:lvl>
    <w:lvl w:ilvl="5" w:tplc="E9ECC57A">
      <w:start w:val="1"/>
      <w:numFmt w:val="bullet"/>
      <w:lvlText w:val=""/>
      <w:lvlJc w:val="left"/>
      <w:pPr>
        <w:ind w:left="4320" w:hanging="360"/>
      </w:pPr>
      <w:rPr>
        <w:rFonts w:ascii="Wingdings" w:hAnsi="Wingdings" w:hint="default"/>
      </w:rPr>
    </w:lvl>
    <w:lvl w:ilvl="6" w:tplc="92925488">
      <w:start w:val="1"/>
      <w:numFmt w:val="bullet"/>
      <w:lvlText w:val=""/>
      <w:lvlJc w:val="left"/>
      <w:pPr>
        <w:ind w:left="5040" w:hanging="360"/>
      </w:pPr>
      <w:rPr>
        <w:rFonts w:ascii="Symbol" w:hAnsi="Symbol" w:hint="default"/>
      </w:rPr>
    </w:lvl>
    <w:lvl w:ilvl="7" w:tplc="4F2A7F6E">
      <w:start w:val="1"/>
      <w:numFmt w:val="bullet"/>
      <w:lvlText w:val="o"/>
      <w:lvlJc w:val="left"/>
      <w:pPr>
        <w:ind w:left="5760" w:hanging="360"/>
      </w:pPr>
      <w:rPr>
        <w:rFonts w:ascii="Courier New" w:hAnsi="Courier New" w:hint="default"/>
      </w:rPr>
    </w:lvl>
    <w:lvl w:ilvl="8" w:tplc="19926DF0">
      <w:start w:val="1"/>
      <w:numFmt w:val="bullet"/>
      <w:lvlText w:val=""/>
      <w:lvlJc w:val="left"/>
      <w:pPr>
        <w:ind w:left="6480" w:hanging="360"/>
      </w:pPr>
      <w:rPr>
        <w:rFonts w:ascii="Wingdings" w:hAnsi="Wingdings" w:hint="default"/>
      </w:rPr>
    </w:lvl>
  </w:abstractNum>
  <w:abstractNum w:abstractNumId="16">
    <w:nsid w:val="64B37DF9"/>
    <w:multiLevelType w:val="hybridMultilevel"/>
    <w:tmpl w:val="FFFFFFFF"/>
    <w:lvl w:ilvl="0" w:tplc="2C9237B4">
      <w:start w:val="1"/>
      <w:numFmt w:val="decimal"/>
      <w:lvlText w:val="%1."/>
      <w:lvlJc w:val="left"/>
      <w:pPr>
        <w:ind w:left="785" w:hanging="360"/>
      </w:pPr>
      <w:rPr>
        <w:rFonts w:cs="Times New Roman" w:hint="default"/>
      </w:rPr>
    </w:lvl>
    <w:lvl w:ilvl="1" w:tplc="4E48A4DC" w:tentative="1">
      <w:start w:val="1"/>
      <w:numFmt w:val="lowerLetter"/>
      <w:lvlText w:val="%2."/>
      <w:lvlJc w:val="left"/>
      <w:pPr>
        <w:ind w:left="1505" w:hanging="360"/>
      </w:pPr>
      <w:rPr>
        <w:rFonts w:cs="Times New Roman"/>
      </w:rPr>
    </w:lvl>
    <w:lvl w:ilvl="2" w:tplc="135AA6CA" w:tentative="1">
      <w:start w:val="1"/>
      <w:numFmt w:val="lowerRoman"/>
      <w:lvlText w:val="%3."/>
      <w:lvlJc w:val="right"/>
      <w:pPr>
        <w:ind w:left="2225" w:hanging="180"/>
      </w:pPr>
      <w:rPr>
        <w:rFonts w:cs="Times New Roman"/>
      </w:rPr>
    </w:lvl>
    <w:lvl w:ilvl="3" w:tplc="396EBE76" w:tentative="1">
      <w:start w:val="1"/>
      <w:numFmt w:val="decimal"/>
      <w:lvlText w:val="%4."/>
      <w:lvlJc w:val="left"/>
      <w:pPr>
        <w:ind w:left="2945" w:hanging="360"/>
      </w:pPr>
      <w:rPr>
        <w:rFonts w:cs="Times New Roman"/>
      </w:rPr>
    </w:lvl>
    <w:lvl w:ilvl="4" w:tplc="534AA842" w:tentative="1">
      <w:start w:val="1"/>
      <w:numFmt w:val="lowerLetter"/>
      <w:lvlText w:val="%5."/>
      <w:lvlJc w:val="left"/>
      <w:pPr>
        <w:ind w:left="3665" w:hanging="360"/>
      </w:pPr>
      <w:rPr>
        <w:rFonts w:cs="Times New Roman"/>
      </w:rPr>
    </w:lvl>
    <w:lvl w:ilvl="5" w:tplc="92F4358A" w:tentative="1">
      <w:start w:val="1"/>
      <w:numFmt w:val="lowerRoman"/>
      <w:lvlText w:val="%6."/>
      <w:lvlJc w:val="right"/>
      <w:pPr>
        <w:ind w:left="4385" w:hanging="180"/>
      </w:pPr>
      <w:rPr>
        <w:rFonts w:cs="Times New Roman"/>
      </w:rPr>
    </w:lvl>
    <w:lvl w:ilvl="6" w:tplc="7E9A7E32" w:tentative="1">
      <w:start w:val="1"/>
      <w:numFmt w:val="decimal"/>
      <w:lvlText w:val="%7."/>
      <w:lvlJc w:val="left"/>
      <w:pPr>
        <w:ind w:left="5105" w:hanging="360"/>
      </w:pPr>
      <w:rPr>
        <w:rFonts w:cs="Times New Roman"/>
      </w:rPr>
    </w:lvl>
    <w:lvl w:ilvl="7" w:tplc="D834CAD2" w:tentative="1">
      <w:start w:val="1"/>
      <w:numFmt w:val="lowerLetter"/>
      <w:lvlText w:val="%8."/>
      <w:lvlJc w:val="left"/>
      <w:pPr>
        <w:ind w:left="5825" w:hanging="360"/>
      </w:pPr>
      <w:rPr>
        <w:rFonts w:cs="Times New Roman"/>
      </w:rPr>
    </w:lvl>
    <w:lvl w:ilvl="8" w:tplc="55C4CAE8" w:tentative="1">
      <w:start w:val="1"/>
      <w:numFmt w:val="lowerRoman"/>
      <w:lvlText w:val="%9."/>
      <w:lvlJc w:val="right"/>
      <w:pPr>
        <w:ind w:left="6545" w:hanging="180"/>
      </w:pPr>
      <w:rPr>
        <w:rFonts w:cs="Times New Roman"/>
      </w:rPr>
    </w:lvl>
  </w:abstractNum>
  <w:abstractNum w:abstractNumId="17">
    <w:nsid w:val="72B25978"/>
    <w:multiLevelType w:val="hybridMultilevel"/>
    <w:tmpl w:val="FFFFFFFF"/>
    <w:lvl w:ilvl="0" w:tplc="0818F3F8">
      <w:start w:val="1"/>
      <w:numFmt w:val="lowerLetter"/>
      <w:lvlText w:val="%1)"/>
      <w:lvlJc w:val="left"/>
      <w:pPr>
        <w:ind w:left="720" w:hanging="360"/>
      </w:pPr>
      <w:rPr>
        <w:rFonts w:cs="Times New Roman" w:hint="default"/>
      </w:rPr>
    </w:lvl>
    <w:lvl w:ilvl="1" w:tplc="061015BE" w:tentative="1">
      <w:start w:val="1"/>
      <w:numFmt w:val="lowerLetter"/>
      <w:lvlText w:val="%2."/>
      <w:lvlJc w:val="left"/>
      <w:pPr>
        <w:ind w:left="1440" w:hanging="360"/>
      </w:pPr>
      <w:rPr>
        <w:rFonts w:cs="Times New Roman"/>
      </w:rPr>
    </w:lvl>
    <w:lvl w:ilvl="2" w:tplc="5B568FEA" w:tentative="1">
      <w:start w:val="1"/>
      <w:numFmt w:val="lowerRoman"/>
      <w:lvlText w:val="%3."/>
      <w:lvlJc w:val="right"/>
      <w:pPr>
        <w:ind w:left="2160" w:hanging="180"/>
      </w:pPr>
      <w:rPr>
        <w:rFonts w:cs="Times New Roman"/>
      </w:rPr>
    </w:lvl>
    <w:lvl w:ilvl="3" w:tplc="6F62A4E0" w:tentative="1">
      <w:start w:val="1"/>
      <w:numFmt w:val="decimal"/>
      <w:lvlText w:val="%4."/>
      <w:lvlJc w:val="left"/>
      <w:pPr>
        <w:ind w:left="2880" w:hanging="360"/>
      </w:pPr>
      <w:rPr>
        <w:rFonts w:cs="Times New Roman"/>
      </w:rPr>
    </w:lvl>
    <w:lvl w:ilvl="4" w:tplc="D2BE532A" w:tentative="1">
      <w:start w:val="1"/>
      <w:numFmt w:val="lowerLetter"/>
      <w:lvlText w:val="%5."/>
      <w:lvlJc w:val="left"/>
      <w:pPr>
        <w:ind w:left="3600" w:hanging="360"/>
      </w:pPr>
      <w:rPr>
        <w:rFonts w:cs="Times New Roman"/>
      </w:rPr>
    </w:lvl>
    <w:lvl w:ilvl="5" w:tplc="F85A5820" w:tentative="1">
      <w:start w:val="1"/>
      <w:numFmt w:val="lowerRoman"/>
      <w:lvlText w:val="%6."/>
      <w:lvlJc w:val="right"/>
      <w:pPr>
        <w:ind w:left="4320" w:hanging="180"/>
      </w:pPr>
      <w:rPr>
        <w:rFonts w:cs="Times New Roman"/>
      </w:rPr>
    </w:lvl>
    <w:lvl w:ilvl="6" w:tplc="5720F386" w:tentative="1">
      <w:start w:val="1"/>
      <w:numFmt w:val="decimal"/>
      <w:lvlText w:val="%7."/>
      <w:lvlJc w:val="left"/>
      <w:pPr>
        <w:ind w:left="5040" w:hanging="360"/>
      </w:pPr>
      <w:rPr>
        <w:rFonts w:cs="Times New Roman"/>
      </w:rPr>
    </w:lvl>
    <w:lvl w:ilvl="7" w:tplc="FC20DD52" w:tentative="1">
      <w:start w:val="1"/>
      <w:numFmt w:val="lowerLetter"/>
      <w:lvlText w:val="%8."/>
      <w:lvlJc w:val="left"/>
      <w:pPr>
        <w:ind w:left="5760" w:hanging="360"/>
      </w:pPr>
      <w:rPr>
        <w:rFonts w:cs="Times New Roman"/>
      </w:rPr>
    </w:lvl>
    <w:lvl w:ilvl="8" w:tplc="2E7CD866" w:tentative="1">
      <w:start w:val="1"/>
      <w:numFmt w:val="lowerRoman"/>
      <w:lvlText w:val="%9."/>
      <w:lvlJc w:val="right"/>
      <w:pPr>
        <w:ind w:left="6480" w:hanging="180"/>
      </w:pPr>
      <w:rPr>
        <w:rFonts w:cs="Times New Roman"/>
      </w:rPr>
    </w:lvl>
  </w:abstractNum>
  <w:abstractNum w:abstractNumId="18">
    <w:nsid w:val="74BA66CA"/>
    <w:multiLevelType w:val="hybridMultilevel"/>
    <w:tmpl w:val="FFFFFFFF"/>
    <w:lvl w:ilvl="0" w:tplc="C1C2A5FA">
      <w:start w:val="1"/>
      <w:numFmt w:val="lowerLetter"/>
      <w:lvlText w:val="%1."/>
      <w:lvlJc w:val="left"/>
      <w:pPr>
        <w:ind w:left="720" w:hanging="360"/>
      </w:pPr>
      <w:rPr>
        <w:rFonts w:cs="Times New Roman" w:hint="default"/>
      </w:rPr>
    </w:lvl>
    <w:lvl w:ilvl="1" w:tplc="D8304318" w:tentative="1">
      <w:start w:val="1"/>
      <w:numFmt w:val="lowerLetter"/>
      <w:lvlText w:val="%2."/>
      <w:lvlJc w:val="left"/>
      <w:pPr>
        <w:ind w:left="1440" w:hanging="360"/>
      </w:pPr>
      <w:rPr>
        <w:rFonts w:cs="Times New Roman"/>
      </w:rPr>
    </w:lvl>
    <w:lvl w:ilvl="2" w:tplc="448633AC" w:tentative="1">
      <w:start w:val="1"/>
      <w:numFmt w:val="lowerRoman"/>
      <w:lvlText w:val="%3."/>
      <w:lvlJc w:val="right"/>
      <w:pPr>
        <w:ind w:left="2160" w:hanging="180"/>
      </w:pPr>
      <w:rPr>
        <w:rFonts w:cs="Times New Roman"/>
      </w:rPr>
    </w:lvl>
    <w:lvl w:ilvl="3" w:tplc="97A4E1EC" w:tentative="1">
      <w:start w:val="1"/>
      <w:numFmt w:val="decimal"/>
      <w:lvlText w:val="%4."/>
      <w:lvlJc w:val="left"/>
      <w:pPr>
        <w:ind w:left="2880" w:hanging="360"/>
      </w:pPr>
      <w:rPr>
        <w:rFonts w:cs="Times New Roman"/>
      </w:rPr>
    </w:lvl>
    <w:lvl w:ilvl="4" w:tplc="B8CACC14" w:tentative="1">
      <w:start w:val="1"/>
      <w:numFmt w:val="lowerLetter"/>
      <w:lvlText w:val="%5."/>
      <w:lvlJc w:val="left"/>
      <w:pPr>
        <w:ind w:left="3600" w:hanging="360"/>
      </w:pPr>
      <w:rPr>
        <w:rFonts w:cs="Times New Roman"/>
      </w:rPr>
    </w:lvl>
    <w:lvl w:ilvl="5" w:tplc="B59A4FA6" w:tentative="1">
      <w:start w:val="1"/>
      <w:numFmt w:val="lowerRoman"/>
      <w:lvlText w:val="%6."/>
      <w:lvlJc w:val="right"/>
      <w:pPr>
        <w:ind w:left="4320" w:hanging="180"/>
      </w:pPr>
      <w:rPr>
        <w:rFonts w:cs="Times New Roman"/>
      </w:rPr>
    </w:lvl>
    <w:lvl w:ilvl="6" w:tplc="23861E38" w:tentative="1">
      <w:start w:val="1"/>
      <w:numFmt w:val="decimal"/>
      <w:lvlText w:val="%7."/>
      <w:lvlJc w:val="left"/>
      <w:pPr>
        <w:ind w:left="5040" w:hanging="360"/>
      </w:pPr>
      <w:rPr>
        <w:rFonts w:cs="Times New Roman"/>
      </w:rPr>
    </w:lvl>
    <w:lvl w:ilvl="7" w:tplc="CC8CD558" w:tentative="1">
      <w:start w:val="1"/>
      <w:numFmt w:val="lowerLetter"/>
      <w:lvlText w:val="%8."/>
      <w:lvlJc w:val="left"/>
      <w:pPr>
        <w:ind w:left="5760" w:hanging="360"/>
      </w:pPr>
      <w:rPr>
        <w:rFonts w:cs="Times New Roman"/>
      </w:rPr>
    </w:lvl>
    <w:lvl w:ilvl="8" w:tplc="4D460444" w:tentative="1">
      <w:start w:val="1"/>
      <w:numFmt w:val="lowerRoman"/>
      <w:lvlText w:val="%9."/>
      <w:lvlJc w:val="right"/>
      <w:pPr>
        <w:ind w:left="6480" w:hanging="180"/>
      </w:pPr>
      <w:rPr>
        <w:rFonts w:cs="Times New Roman"/>
      </w:rPr>
    </w:lvl>
  </w:abstractNum>
  <w:abstractNum w:abstractNumId="19">
    <w:nsid w:val="7B1A784C"/>
    <w:multiLevelType w:val="hybridMultilevel"/>
    <w:tmpl w:val="FFFFFFFF"/>
    <w:lvl w:ilvl="0" w:tplc="E0EC48BA">
      <w:start w:val="1"/>
      <w:numFmt w:val="lowerLetter"/>
      <w:lvlText w:val="%1."/>
      <w:lvlJc w:val="left"/>
      <w:pPr>
        <w:ind w:left="420" w:hanging="360"/>
      </w:pPr>
      <w:rPr>
        <w:rFonts w:cs="Times New Roman"/>
        <w:sz w:val="20"/>
        <w:szCs w:val="20"/>
      </w:rPr>
    </w:lvl>
    <w:lvl w:ilvl="1" w:tplc="771272C4">
      <w:start w:val="1"/>
      <w:numFmt w:val="lowerLetter"/>
      <w:lvlText w:val="%2."/>
      <w:lvlJc w:val="left"/>
      <w:pPr>
        <w:ind w:left="1140" w:hanging="360"/>
      </w:pPr>
      <w:rPr>
        <w:rFonts w:cs="Times New Roman"/>
      </w:rPr>
    </w:lvl>
    <w:lvl w:ilvl="2" w:tplc="6E2C2CAA">
      <w:start w:val="1"/>
      <w:numFmt w:val="lowerRoman"/>
      <w:lvlText w:val="%3."/>
      <w:lvlJc w:val="right"/>
      <w:pPr>
        <w:ind w:left="1860" w:hanging="180"/>
      </w:pPr>
      <w:rPr>
        <w:rFonts w:cs="Times New Roman"/>
      </w:rPr>
    </w:lvl>
    <w:lvl w:ilvl="3" w:tplc="F1B8DBA6">
      <w:start w:val="1"/>
      <w:numFmt w:val="decimal"/>
      <w:lvlText w:val="%4."/>
      <w:lvlJc w:val="left"/>
      <w:pPr>
        <w:ind w:left="2580" w:hanging="360"/>
      </w:pPr>
      <w:rPr>
        <w:rFonts w:cs="Times New Roman"/>
      </w:rPr>
    </w:lvl>
    <w:lvl w:ilvl="4" w:tplc="2C0ADA14">
      <w:start w:val="1"/>
      <w:numFmt w:val="lowerLetter"/>
      <w:lvlText w:val="%5."/>
      <w:lvlJc w:val="left"/>
      <w:pPr>
        <w:ind w:left="3300" w:hanging="360"/>
      </w:pPr>
      <w:rPr>
        <w:rFonts w:cs="Times New Roman"/>
      </w:rPr>
    </w:lvl>
    <w:lvl w:ilvl="5" w:tplc="BDEA6CDA">
      <w:start w:val="1"/>
      <w:numFmt w:val="lowerRoman"/>
      <w:lvlText w:val="%6."/>
      <w:lvlJc w:val="right"/>
      <w:pPr>
        <w:ind w:left="4020" w:hanging="180"/>
      </w:pPr>
      <w:rPr>
        <w:rFonts w:cs="Times New Roman"/>
      </w:rPr>
    </w:lvl>
    <w:lvl w:ilvl="6" w:tplc="5EFA062E">
      <w:start w:val="1"/>
      <w:numFmt w:val="decimal"/>
      <w:lvlText w:val="%7."/>
      <w:lvlJc w:val="left"/>
      <w:pPr>
        <w:ind w:left="4740" w:hanging="360"/>
      </w:pPr>
      <w:rPr>
        <w:rFonts w:cs="Times New Roman"/>
      </w:rPr>
    </w:lvl>
    <w:lvl w:ilvl="7" w:tplc="53B80BBC">
      <w:start w:val="1"/>
      <w:numFmt w:val="lowerLetter"/>
      <w:lvlText w:val="%8."/>
      <w:lvlJc w:val="left"/>
      <w:pPr>
        <w:ind w:left="5460" w:hanging="360"/>
      </w:pPr>
      <w:rPr>
        <w:rFonts w:cs="Times New Roman"/>
      </w:rPr>
    </w:lvl>
    <w:lvl w:ilvl="8" w:tplc="7E086430">
      <w:start w:val="1"/>
      <w:numFmt w:val="lowerRoman"/>
      <w:lvlText w:val="%9."/>
      <w:lvlJc w:val="right"/>
      <w:pPr>
        <w:ind w:left="6180" w:hanging="180"/>
      </w:pPr>
      <w:rPr>
        <w:rFonts w:cs="Times New Roman"/>
      </w:rPr>
    </w:lvl>
  </w:abstractNum>
  <w:num w:numId="1">
    <w:abstractNumId w:val="9"/>
  </w:num>
  <w:num w:numId="2">
    <w:abstractNumId w:val="10"/>
  </w:num>
  <w:num w:numId="3">
    <w:abstractNumId w:val="6"/>
  </w:num>
  <w:num w:numId="4">
    <w:abstractNumId w:val="5"/>
  </w:num>
  <w:num w:numId="5">
    <w:abstractNumId w:val="14"/>
  </w:num>
  <w:num w:numId="6">
    <w:abstractNumId w:val="17"/>
  </w:num>
  <w:num w:numId="7">
    <w:abstractNumId w:val="1"/>
  </w:num>
  <w:num w:numId="8">
    <w:abstractNumId w:val="16"/>
  </w:num>
  <w:num w:numId="9">
    <w:abstractNumId w:val="8"/>
  </w:num>
  <w:num w:numId="10">
    <w:abstractNumId w:val="15"/>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2"/>
  </w:num>
  <w:num w:numId="14">
    <w:abstractNumId w:val="11"/>
  </w:num>
  <w:num w:numId="15">
    <w:abstractNumId w:val="12"/>
  </w:num>
  <w:num w:numId="16">
    <w:abstractNumId w:val="0"/>
  </w:num>
  <w:num w:numId="17">
    <w:abstractNumId w:val="4"/>
  </w:num>
  <w:num w:numId="18">
    <w:abstractNumId w:val="7"/>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1C4334"/>
    <w:rsid w:val="000061CE"/>
    <w:rsid w:val="000201DB"/>
    <w:rsid w:val="00030B37"/>
    <w:rsid w:val="00031DD5"/>
    <w:rsid w:val="000333AC"/>
    <w:rsid w:val="000355EA"/>
    <w:rsid w:val="00035C67"/>
    <w:rsid w:val="00056E9C"/>
    <w:rsid w:val="000735BB"/>
    <w:rsid w:val="00075197"/>
    <w:rsid w:val="000831BD"/>
    <w:rsid w:val="00083536"/>
    <w:rsid w:val="00092A09"/>
    <w:rsid w:val="000A0C4D"/>
    <w:rsid w:val="000A13A3"/>
    <w:rsid w:val="000A306E"/>
    <w:rsid w:val="000A36F0"/>
    <w:rsid w:val="000A7A13"/>
    <w:rsid w:val="000B2AEC"/>
    <w:rsid w:val="000C6912"/>
    <w:rsid w:val="000D5EE8"/>
    <w:rsid w:val="000E2588"/>
    <w:rsid w:val="000E2C60"/>
    <w:rsid w:val="000E7A05"/>
    <w:rsid w:val="000F1812"/>
    <w:rsid w:val="000F66B9"/>
    <w:rsid w:val="000F77E9"/>
    <w:rsid w:val="00107B44"/>
    <w:rsid w:val="00113F2B"/>
    <w:rsid w:val="00114306"/>
    <w:rsid w:val="001358C8"/>
    <w:rsid w:val="00143989"/>
    <w:rsid w:val="00145F3A"/>
    <w:rsid w:val="00147004"/>
    <w:rsid w:val="00147524"/>
    <w:rsid w:val="00151740"/>
    <w:rsid w:val="00157DDB"/>
    <w:rsid w:val="001603B5"/>
    <w:rsid w:val="00171B97"/>
    <w:rsid w:val="00175AC1"/>
    <w:rsid w:val="00175AF2"/>
    <w:rsid w:val="00182EA2"/>
    <w:rsid w:val="001914CF"/>
    <w:rsid w:val="001A4292"/>
    <w:rsid w:val="001A581B"/>
    <w:rsid w:val="001C1084"/>
    <w:rsid w:val="001C18FA"/>
    <w:rsid w:val="001C30E8"/>
    <w:rsid w:val="001C4334"/>
    <w:rsid w:val="001C7B8C"/>
    <w:rsid w:val="001E42C1"/>
    <w:rsid w:val="001F4625"/>
    <w:rsid w:val="002001C5"/>
    <w:rsid w:val="00202D95"/>
    <w:rsid w:val="002225A6"/>
    <w:rsid w:val="0022427B"/>
    <w:rsid w:val="002263FF"/>
    <w:rsid w:val="00226E30"/>
    <w:rsid w:val="0023514C"/>
    <w:rsid w:val="00242DD3"/>
    <w:rsid w:val="00245BDA"/>
    <w:rsid w:val="0025334C"/>
    <w:rsid w:val="002663A1"/>
    <w:rsid w:val="00270B5A"/>
    <w:rsid w:val="00287854"/>
    <w:rsid w:val="00290481"/>
    <w:rsid w:val="002A02C2"/>
    <w:rsid w:val="002A2BCB"/>
    <w:rsid w:val="002A7ABC"/>
    <w:rsid w:val="002B31FD"/>
    <w:rsid w:val="002B59BA"/>
    <w:rsid w:val="002C57D4"/>
    <w:rsid w:val="002F68CE"/>
    <w:rsid w:val="003037AA"/>
    <w:rsid w:val="00307DF5"/>
    <w:rsid w:val="00312FBF"/>
    <w:rsid w:val="0032467B"/>
    <w:rsid w:val="00325B99"/>
    <w:rsid w:val="00330DE2"/>
    <w:rsid w:val="00332059"/>
    <w:rsid w:val="00332A14"/>
    <w:rsid w:val="00340D1C"/>
    <w:rsid w:val="0034182D"/>
    <w:rsid w:val="00351943"/>
    <w:rsid w:val="003538FA"/>
    <w:rsid w:val="00366DA9"/>
    <w:rsid w:val="003670E2"/>
    <w:rsid w:val="00367C25"/>
    <w:rsid w:val="00372FCD"/>
    <w:rsid w:val="00376360"/>
    <w:rsid w:val="00376B69"/>
    <w:rsid w:val="003807D8"/>
    <w:rsid w:val="003809CC"/>
    <w:rsid w:val="003827AC"/>
    <w:rsid w:val="00392773"/>
    <w:rsid w:val="003B03C8"/>
    <w:rsid w:val="003C3B3B"/>
    <w:rsid w:val="003D061C"/>
    <w:rsid w:val="003E5BB6"/>
    <w:rsid w:val="003F3A9E"/>
    <w:rsid w:val="00401323"/>
    <w:rsid w:val="00410A1B"/>
    <w:rsid w:val="00420014"/>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C2768"/>
    <w:rsid w:val="004C2BBB"/>
    <w:rsid w:val="004C67A3"/>
    <w:rsid w:val="004C700A"/>
    <w:rsid w:val="004D00C2"/>
    <w:rsid w:val="004D0C98"/>
    <w:rsid w:val="004F29DF"/>
    <w:rsid w:val="004F6BCE"/>
    <w:rsid w:val="005041B5"/>
    <w:rsid w:val="0050557B"/>
    <w:rsid w:val="005145F9"/>
    <w:rsid w:val="00526694"/>
    <w:rsid w:val="005340DA"/>
    <w:rsid w:val="0055125A"/>
    <w:rsid w:val="0055535C"/>
    <w:rsid w:val="00561289"/>
    <w:rsid w:val="00565B81"/>
    <w:rsid w:val="00566877"/>
    <w:rsid w:val="005710E6"/>
    <w:rsid w:val="005807EE"/>
    <w:rsid w:val="0058178B"/>
    <w:rsid w:val="005909CA"/>
    <w:rsid w:val="00590ECF"/>
    <w:rsid w:val="005A0E25"/>
    <w:rsid w:val="005A26FC"/>
    <w:rsid w:val="005A317A"/>
    <w:rsid w:val="005A3DBD"/>
    <w:rsid w:val="005A7A9C"/>
    <w:rsid w:val="005B0D7F"/>
    <w:rsid w:val="005B4643"/>
    <w:rsid w:val="005B5AEC"/>
    <w:rsid w:val="005C4902"/>
    <w:rsid w:val="005C77D1"/>
    <w:rsid w:val="005C7EC7"/>
    <w:rsid w:val="005D00BE"/>
    <w:rsid w:val="005D18A2"/>
    <w:rsid w:val="0061136D"/>
    <w:rsid w:val="00617741"/>
    <w:rsid w:val="00626D7A"/>
    <w:rsid w:val="00630559"/>
    <w:rsid w:val="006405DC"/>
    <w:rsid w:val="00642A67"/>
    <w:rsid w:val="00655540"/>
    <w:rsid w:val="006659EC"/>
    <w:rsid w:val="00674F13"/>
    <w:rsid w:val="00675603"/>
    <w:rsid w:val="006802BF"/>
    <w:rsid w:val="00684266"/>
    <w:rsid w:val="00685F8C"/>
    <w:rsid w:val="00686344"/>
    <w:rsid w:val="006875E7"/>
    <w:rsid w:val="00690C1D"/>
    <w:rsid w:val="0069239F"/>
    <w:rsid w:val="006A6719"/>
    <w:rsid w:val="006B3B48"/>
    <w:rsid w:val="006B5DB7"/>
    <w:rsid w:val="006C79FB"/>
    <w:rsid w:val="006D0B77"/>
    <w:rsid w:val="006E711A"/>
    <w:rsid w:val="006F160B"/>
    <w:rsid w:val="00701A0F"/>
    <w:rsid w:val="007024BD"/>
    <w:rsid w:val="0071335B"/>
    <w:rsid w:val="00716FCB"/>
    <w:rsid w:val="00717E11"/>
    <w:rsid w:val="00717FE7"/>
    <w:rsid w:val="00721B39"/>
    <w:rsid w:val="00723972"/>
    <w:rsid w:val="00723B12"/>
    <w:rsid w:val="00727D5A"/>
    <w:rsid w:val="0073613A"/>
    <w:rsid w:val="0074579B"/>
    <w:rsid w:val="00750180"/>
    <w:rsid w:val="00751F6C"/>
    <w:rsid w:val="007549C7"/>
    <w:rsid w:val="00762731"/>
    <w:rsid w:val="00763D48"/>
    <w:rsid w:val="007706D1"/>
    <w:rsid w:val="00776DFE"/>
    <w:rsid w:val="00784B9B"/>
    <w:rsid w:val="00786304"/>
    <w:rsid w:val="00787398"/>
    <w:rsid w:val="007A2C38"/>
    <w:rsid w:val="007B2B7A"/>
    <w:rsid w:val="007B716C"/>
    <w:rsid w:val="007E0F04"/>
    <w:rsid w:val="007E5CEF"/>
    <w:rsid w:val="007E6AA6"/>
    <w:rsid w:val="007E6E1C"/>
    <w:rsid w:val="007F0542"/>
    <w:rsid w:val="007F2733"/>
    <w:rsid w:val="00802C6D"/>
    <w:rsid w:val="008036D9"/>
    <w:rsid w:val="008477FA"/>
    <w:rsid w:val="00863036"/>
    <w:rsid w:val="00873823"/>
    <w:rsid w:val="00874DBD"/>
    <w:rsid w:val="00883EAA"/>
    <w:rsid w:val="008841DF"/>
    <w:rsid w:val="008858AA"/>
    <w:rsid w:val="00887B61"/>
    <w:rsid w:val="0089730B"/>
    <w:rsid w:val="008D0E8E"/>
    <w:rsid w:val="008D272B"/>
    <w:rsid w:val="008D6030"/>
    <w:rsid w:val="008E27C5"/>
    <w:rsid w:val="008E64A2"/>
    <w:rsid w:val="008F618A"/>
    <w:rsid w:val="0091506C"/>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76F6A"/>
    <w:rsid w:val="0098303C"/>
    <w:rsid w:val="00984D8C"/>
    <w:rsid w:val="009B07D9"/>
    <w:rsid w:val="009C1B55"/>
    <w:rsid w:val="009C6974"/>
    <w:rsid w:val="009C7544"/>
    <w:rsid w:val="009D09F2"/>
    <w:rsid w:val="009D3532"/>
    <w:rsid w:val="009E52F0"/>
    <w:rsid w:val="009F0C88"/>
    <w:rsid w:val="009F4CD2"/>
    <w:rsid w:val="009F71B3"/>
    <w:rsid w:val="00A00078"/>
    <w:rsid w:val="00A02BB2"/>
    <w:rsid w:val="00A10E86"/>
    <w:rsid w:val="00A234A4"/>
    <w:rsid w:val="00A36F58"/>
    <w:rsid w:val="00A414CC"/>
    <w:rsid w:val="00A448B5"/>
    <w:rsid w:val="00A5096A"/>
    <w:rsid w:val="00A54BE9"/>
    <w:rsid w:val="00A66748"/>
    <w:rsid w:val="00A75CB1"/>
    <w:rsid w:val="00A80097"/>
    <w:rsid w:val="00A91453"/>
    <w:rsid w:val="00A96285"/>
    <w:rsid w:val="00A9708A"/>
    <w:rsid w:val="00A97F4A"/>
    <w:rsid w:val="00AA580B"/>
    <w:rsid w:val="00AB2854"/>
    <w:rsid w:val="00AB4892"/>
    <w:rsid w:val="00AB6B7A"/>
    <w:rsid w:val="00AC2C3A"/>
    <w:rsid w:val="00AC475D"/>
    <w:rsid w:val="00AC4C2F"/>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46770"/>
    <w:rsid w:val="00B5764F"/>
    <w:rsid w:val="00B67ED6"/>
    <w:rsid w:val="00B7027E"/>
    <w:rsid w:val="00B72F3D"/>
    <w:rsid w:val="00B74337"/>
    <w:rsid w:val="00B95D25"/>
    <w:rsid w:val="00BA14D2"/>
    <w:rsid w:val="00BA707F"/>
    <w:rsid w:val="00BB6E10"/>
    <w:rsid w:val="00BD0A28"/>
    <w:rsid w:val="00BD0ABC"/>
    <w:rsid w:val="00BE398A"/>
    <w:rsid w:val="00BE4DEC"/>
    <w:rsid w:val="00BF0A78"/>
    <w:rsid w:val="00BF21AD"/>
    <w:rsid w:val="00BF2297"/>
    <w:rsid w:val="00BF4139"/>
    <w:rsid w:val="00BF4472"/>
    <w:rsid w:val="00BF6007"/>
    <w:rsid w:val="00C1416D"/>
    <w:rsid w:val="00C21EFA"/>
    <w:rsid w:val="00C361A9"/>
    <w:rsid w:val="00C36799"/>
    <w:rsid w:val="00C37B1B"/>
    <w:rsid w:val="00C4224C"/>
    <w:rsid w:val="00C66ECA"/>
    <w:rsid w:val="00C721BA"/>
    <w:rsid w:val="00C8406B"/>
    <w:rsid w:val="00C94847"/>
    <w:rsid w:val="00CA3B3C"/>
    <w:rsid w:val="00CC0C2B"/>
    <w:rsid w:val="00CC3DB2"/>
    <w:rsid w:val="00CC7F21"/>
    <w:rsid w:val="00CD3AE9"/>
    <w:rsid w:val="00CE131B"/>
    <w:rsid w:val="00CE242C"/>
    <w:rsid w:val="00CF5425"/>
    <w:rsid w:val="00D13D39"/>
    <w:rsid w:val="00D2296B"/>
    <w:rsid w:val="00D31547"/>
    <w:rsid w:val="00D37209"/>
    <w:rsid w:val="00D4040D"/>
    <w:rsid w:val="00D51A98"/>
    <w:rsid w:val="00D56D5E"/>
    <w:rsid w:val="00D74358"/>
    <w:rsid w:val="00D75604"/>
    <w:rsid w:val="00D77FAD"/>
    <w:rsid w:val="00D81206"/>
    <w:rsid w:val="00D90DB0"/>
    <w:rsid w:val="00DA0836"/>
    <w:rsid w:val="00DA2631"/>
    <w:rsid w:val="00DC75F3"/>
    <w:rsid w:val="00DD295B"/>
    <w:rsid w:val="00DE2B7D"/>
    <w:rsid w:val="00DF215F"/>
    <w:rsid w:val="00E00922"/>
    <w:rsid w:val="00E02772"/>
    <w:rsid w:val="00E05855"/>
    <w:rsid w:val="00E1438C"/>
    <w:rsid w:val="00E21A05"/>
    <w:rsid w:val="00E22B8E"/>
    <w:rsid w:val="00E45249"/>
    <w:rsid w:val="00E517C5"/>
    <w:rsid w:val="00E56B59"/>
    <w:rsid w:val="00E85AC8"/>
    <w:rsid w:val="00EA7D37"/>
    <w:rsid w:val="00EE35A7"/>
    <w:rsid w:val="00EF47B8"/>
    <w:rsid w:val="00F03710"/>
    <w:rsid w:val="00F05579"/>
    <w:rsid w:val="00F15294"/>
    <w:rsid w:val="00F30CBA"/>
    <w:rsid w:val="00F30EA6"/>
    <w:rsid w:val="00F36C4F"/>
    <w:rsid w:val="00F40982"/>
    <w:rsid w:val="00F40BB3"/>
    <w:rsid w:val="00F422AA"/>
    <w:rsid w:val="00F4671A"/>
    <w:rsid w:val="00F67706"/>
    <w:rsid w:val="00F6777E"/>
    <w:rsid w:val="00F71A9D"/>
    <w:rsid w:val="00F87661"/>
    <w:rsid w:val="00F8776C"/>
    <w:rsid w:val="00F941E4"/>
    <w:rsid w:val="00F96EB0"/>
    <w:rsid w:val="00FA3411"/>
    <w:rsid w:val="00FA43FF"/>
    <w:rsid w:val="00FA57C1"/>
    <w:rsid w:val="00FB0F77"/>
    <w:rsid w:val="00FC00CE"/>
    <w:rsid w:val="00FD3643"/>
    <w:rsid w:val="00FD3AD6"/>
    <w:rsid w:val="00FD612C"/>
    <w:rsid w:val="00FE1BD7"/>
    <w:rsid w:val="00FE2A5A"/>
    <w:rsid w:val="00FE2F54"/>
    <w:rsid w:val="00FE4EBE"/>
    <w:rsid w:val="00FE5014"/>
    <w:rsid w:val="00FE6068"/>
    <w:rsid w:val="00FF03FB"/>
    <w:rsid w:val="00FF255E"/>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0A1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imes New Roman"/>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locked/>
    <w:rsid w:val="008858AA"/>
    <w:rPr>
      <w:rFonts w:ascii="Times New Roman" w:hAnsi="Times New Roman" w:cs="Arial"/>
      <w:b/>
      <w:bCs/>
      <w:kern w:val="32"/>
      <w:sz w:val="32"/>
      <w:szCs w:val="32"/>
      <w:lang w:val="en-GB" w:eastAsia="en-GB"/>
    </w:rPr>
  </w:style>
  <w:style w:type="character" w:customStyle="1" w:styleId="Heading2Char">
    <w:name w:val="Heading 2 Char"/>
    <w:basedOn w:val="DefaultParagraphFont"/>
    <w:link w:val="Heading2"/>
    <w:uiPriority w:val="9"/>
    <w:qFormat/>
    <w:locked/>
    <w:rsid w:val="008858AA"/>
    <w:rPr>
      <w:rFonts w:asciiTheme="majorHAnsi" w:eastAsiaTheme="majorEastAsia" w:hAnsiTheme="majorHAnsi" w:cs="Times New Roman"/>
      <w:color w:val="2F5496" w:themeColor="accent1" w:themeShade="BF"/>
      <w:sz w:val="26"/>
      <w:szCs w:val="26"/>
    </w:rPr>
  </w:style>
  <w:style w:type="character" w:customStyle="1" w:styleId="Heading3Char">
    <w:name w:val="Heading 3 Char"/>
    <w:basedOn w:val="DefaultParagraphFont"/>
    <w:link w:val="Heading3"/>
    <w:uiPriority w:val="9"/>
    <w:qFormat/>
    <w:locked/>
    <w:rsid w:val="008858AA"/>
    <w:rPr>
      <w:rFonts w:asciiTheme="majorHAnsi" w:eastAsiaTheme="majorEastAsia" w:hAnsiTheme="majorHAnsi" w:cs="Times New Roman"/>
      <w:color w:val="1F3763" w:themeColor="accent1" w:themeShade="7F"/>
      <w:sz w:val="24"/>
      <w:szCs w:val="24"/>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hAnsi="Palatino Linotype"/>
      <w:b/>
      <w:color w:val="000000"/>
      <w:sz w:val="28"/>
      <w:szCs w:val="28"/>
      <w:lang w:val="en-GB" w:eastAsia="de-DE"/>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hAnsi="Palatino Linotype"/>
      <w:b/>
      <w:color w:val="000000"/>
      <w:sz w:val="20"/>
      <w:lang w:val="en-US" w:eastAsia="de-DE"/>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hAnsi="Palatino Linotype"/>
      <w:color w:val="000000"/>
      <w:sz w:val="18"/>
      <w:szCs w:val="20"/>
      <w:lang w:val="en-US" w:eastAsia="de-DE"/>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hAnsi="Palatino Linotype"/>
      <w:color w:val="000000"/>
      <w:sz w:val="18"/>
      <w:szCs w:val="18"/>
      <w:lang w:val="en-US" w:eastAsia="de-DE"/>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hAnsi="Palatino Linotype"/>
      <w:color w:val="000000"/>
      <w:sz w:val="18"/>
      <w:szCs w:val="20"/>
      <w:lang w:val="en-US" w:eastAsia="de-DE"/>
    </w:rPr>
  </w:style>
  <w:style w:type="paragraph" w:customStyle="1" w:styleId="Alishlah17abstract">
    <w:name w:val="Alishlah_1.7_abstract"/>
    <w:basedOn w:val="Alishlah31text"/>
    <w:next w:val="Alishlah18keywords"/>
    <w:qFormat/>
    <w:rsid w:val="00E45249"/>
    <w:pPr>
      <w:spacing w:line="240" w:lineRule="auto"/>
      <w:ind w:left="113" w:firstLine="0"/>
    </w:pPr>
    <w:rPr>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hAnsi="Palatino Linotype"/>
      <w:color w:val="000000"/>
      <w:sz w:val="20"/>
      <w:lang w:val="en-US" w:eastAsia="de-DE"/>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hAnsi="Palatino Linotype"/>
      <w:b/>
      <w:color w:val="000000"/>
      <w:sz w:val="20"/>
      <w:lang w:val="en-US" w:eastAsia="zh-CN"/>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hAnsi="Palatino Linotype"/>
      <w:color w:val="000000"/>
      <w:sz w:val="18"/>
      <w:szCs w:val="20"/>
      <w:lang w:val="en-US" w:eastAsia="de-DE"/>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Times New Roman"/>
      <w:b/>
      <w:bCs/>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hAnsi="Palatino Linotype"/>
      <w:color w:val="000000"/>
      <w:sz w:val="20"/>
      <w:szCs w:val="20"/>
      <w:lang w:val="en-US" w:eastAsia="de-DE"/>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style>
  <w:style w:type="paragraph" w:customStyle="1" w:styleId="Alishlah52figure">
    <w:name w:val="Alishlah_5.2_figure"/>
    <w:qFormat/>
    <w:rsid w:val="008E64A2"/>
    <w:pPr>
      <w:spacing w:after="0" w:line="240" w:lineRule="auto"/>
      <w:jc w:val="center"/>
    </w:pPr>
    <w:rPr>
      <w:rFonts w:ascii="Palatino Linotype" w:hAnsi="Palatino Linotype"/>
      <w:color w:val="000000"/>
      <w:sz w:val="24"/>
      <w:szCs w:val="20"/>
      <w:lang w:val="en-US" w:eastAsia="de-DE"/>
    </w:rPr>
  </w:style>
  <w:style w:type="paragraph" w:customStyle="1" w:styleId="MDPIheaderjournallogo">
    <w:name w:val="MDPI_header_journal_logo"/>
    <w:qFormat/>
    <w:rsid w:val="00EE35A7"/>
    <w:pPr>
      <w:adjustRightInd w:val="0"/>
      <w:snapToGrid w:val="0"/>
      <w:spacing w:after="0" w:line="240" w:lineRule="auto"/>
    </w:pPr>
    <w:rPr>
      <w:rFonts w:ascii="Palatino Linotype" w:hAnsi="Palatino Linotype"/>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b/>
      <w:bCs/>
      <w:i/>
      <w:noProof/>
      <w:color w:val="000000"/>
      <w:sz w:val="20"/>
      <w:lang w:val="en-US" w:eastAsia="de-DE"/>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noProof/>
      <w:sz w:val="20"/>
      <w:szCs w:val="20"/>
    </w:rPr>
  </w:style>
  <w:style w:type="character" w:styleId="Hyperlink">
    <w:name w:val="Hyperlink"/>
    <w:basedOn w:val="DefaultParagraphFont"/>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locked/>
    <w:rsid w:val="008E64A2"/>
    <w:rPr>
      <w:rFonts w:cs="Times New Roman"/>
    </w:rPr>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locked/>
    <w:rsid w:val="008E64A2"/>
    <w:rPr>
      <w:rFonts w:cs="Times New Roman"/>
    </w:rPr>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locked/>
    <w:rsid w:val="00056E9C"/>
    <w:rPr>
      <w:rFonts w:cs="Times New Roman"/>
      <w:sz w:val="20"/>
      <w:szCs w:val="20"/>
    </w:rPr>
  </w:style>
  <w:style w:type="character" w:styleId="FootnoteReference">
    <w:name w:val="footnote reference"/>
    <w:basedOn w:val="DefaultParagraphFont"/>
    <w:uiPriority w:val="99"/>
    <w:unhideWhenUsed/>
    <w:qFormat/>
    <w:rsid w:val="00056E9C"/>
    <w:rPr>
      <w:rFonts w:cs="Times New Roman"/>
      <w:vertAlign w:val="superscript"/>
    </w:rPr>
  </w:style>
  <w:style w:type="character" w:customStyle="1" w:styleId="UnresolvedMention1">
    <w:name w:val="Unresolved Mention1"/>
    <w:basedOn w:val="DefaultParagraphFont"/>
    <w:uiPriority w:val="99"/>
    <w:semiHidden/>
    <w:unhideWhenUsed/>
    <w:qFormat/>
    <w:rsid w:val="00BF0A78"/>
    <w:rPr>
      <w:rFonts w:cs="Times New Roman"/>
      <w:color w:val="605E5C"/>
      <w:shd w:val="clear" w:color="auto" w:fill="E1DFDD"/>
    </w:rPr>
  </w:style>
  <w:style w:type="character" w:styleId="Strong">
    <w:name w:val="Strong"/>
    <w:basedOn w:val="DefaultParagraphFont"/>
    <w:uiPriority w:val="22"/>
    <w:qFormat/>
    <w:rsid w:val="005A7A9C"/>
    <w:rPr>
      <w:rFonts w:cs="Times New Roman"/>
      <w:b/>
      <w:bCs/>
    </w:rPr>
  </w:style>
  <w:style w:type="paragraph" w:styleId="NormalWeb">
    <w:name w:val="Normal (Web)"/>
    <w:basedOn w:val="Normal"/>
    <w:uiPriority w:val="99"/>
    <w:unhideWhenUsed/>
    <w:qFormat/>
    <w:rsid w:val="00966B3D"/>
    <w:rPr>
      <w:rFonts w:ascii="Times New Roman" w:hAnsi="Times New Roman"/>
      <w:sz w:val="24"/>
      <w:szCs w:val="24"/>
    </w:rPr>
  </w:style>
  <w:style w:type="paragraph" w:styleId="ListParagraph">
    <w:name w:val="List Paragraph"/>
    <w:aliases w:val="Body of text,Body of text+1,Body of text+2,Body of text+3,Colorful List - Accent 11,Colorful List - Accent 111,Heading 10,Heading 11,Heading 111,Heading 1111,Heading 12,List Paragraph1,List Paragraph11,Medium Grid 1 - Accent 21"/>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rFonts w:cs="Times New Roman"/>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locked/>
    <w:rsid w:val="00366DA9"/>
    <w:rPr>
      <w:rFonts w:cs="Times New Roman"/>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locked/>
    <w:rsid w:val="00366DA9"/>
    <w:rPr>
      <w:rFonts w:cs="Times New Roman"/>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locked/>
    <w:rsid w:val="00366DA9"/>
    <w:rPr>
      <w:rFonts w:ascii="Segoe UI" w:hAnsi="Segoe UI" w:cs="Segoe UI"/>
      <w:sz w:val="18"/>
      <w:szCs w:val="18"/>
    </w:rPr>
  </w:style>
  <w:style w:type="character" w:customStyle="1" w:styleId="tlid-translation">
    <w:name w:val="tlid-translation"/>
    <w:basedOn w:val="DefaultParagraphFont"/>
    <w:rsid w:val="007E0F04"/>
    <w:rPr>
      <w:rFonts w:cs="Times New Roman"/>
    </w:rPr>
  </w:style>
  <w:style w:type="table" w:customStyle="1" w:styleId="PlainTable21">
    <w:name w:val="Plain Table 21"/>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rFonts w:cs="Times New Roman"/>
      <w:color w:val="605E5C"/>
      <w:shd w:val="clear" w:color="auto" w:fill="E1DFDD"/>
    </w:rPr>
  </w:style>
  <w:style w:type="character" w:customStyle="1" w:styleId="UnresolvedMention3">
    <w:name w:val="Unresolved Mention3"/>
    <w:basedOn w:val="DefaultParagraphFont"/>
    <w:uiPriority w:val="99"/>
    <w:semiHidden/>
    <w:unhideWhenUsed/>
    <w:rsid w:val="00784B9B"/>
    <w:rPr>
      <w:rFonts w:cs="Times New Roman"/>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hAnsi="Times New Roman"/>
      <w:b/>
      <w:bCs/>
      <w:sz w:val="24"/>
      <w:szCs w:val="24"/>
      <w:lang w:val="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hAnsi="Times New Roman"/>
      <w:sz w:val="24"/>
      <w:szCs w:val="24"/>
      <w:lang w:val="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hAnsi="Times New Roman"/>
      <w:i/>
      <w:sz w:val="24"/>
      <w:szCs w:val="24"/>
      <w:lang w:val="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hAnsi="Times New Roman"/>
      <w:sz w:val="24"/>
      <w:szCs w:val="24"/>
      <w:lang w:val="en-US"/>
    </w:rPr>
  </w:style>
  <w:style w:type="character" w:customStyle="1" w:styleId="BodyTextChar">
    <w:name w:val="Body Text Char"/>
    <w:basedOn w:val="DefaultParagraphFont"/>
    <w:link w:val="BodyText"/>
    <w:uiPriority w:val="1"/>
    <w:locked/>
    <w:rsid w:val="0061136D"/>
    <w:rPr>
      <w:rFonts w:ascii="Times New Roman" w:hAnsi="Times New Roman" w:cs="Times New Roman"/>
      <w:sz w:val="24"/>
      <w:szCs w:val="24"/>
      <w:lang w:val="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hAnsi="Times New Roman"/>
      <w:lang w:val="en-US"/>
    </w:rPr>
  </w:style>
  <w:style w:type="character" w:customStyle="1" w:styleId="lc">
    <w:name w:val="lc"/>
    <w:basedOn w:val="DefaultParagraphFont"/>
    <w:rsid w:val="0061136D"/>
    <w:rPr>
      <w:rFonts w:cs="Times New Roman"/>
    </w:rPr>
  </w:style>
  <w:style w:type="character" w:customStyle="1" w:styleId="kw">
    <w:name w:val="kw"/>
    <w:basedOn w:val="DefaultParagraphFont"/>
    <w:rsid w:val="0061136D"/>
    <w:rPr>
      <w:rFonts w:cs="Times New Roman"/>
    </w:rPr>
  </w:style>
  <w:style w:type="character" w:customStyle="1" w:styleId="rc">
    <w:name w:val="rc"/>
    <w:basedOn w:val="DefaultParagraphFont"/>
    <w:rsid w:val="0061136D"/>
    <w:rPr>
      <w:rFonts w:cs="Times New Roman"/>
    </w:rPr>
  </w:style>
  <w:style w:type="character" w:customStyle="1" w:styleId="st">
    <w:name w:val="st"/>
    <w:basedOn w:val="DefaultParagraphFont"/>
    <w:rsid w:val="0061136D"/>
    <w:rPr>
      <w:rFonts w:cs="Times New Roman"/>
    </w:rPr>
  </w:style>
  <w:style w:type="character" w:customStyle="1" w:styleId="UnresolvedMention4">
    <w:name w:val="Unresolved Mention4"/>
    <w:basedOn w:val="DefaultParagraphFont"/>
    <w:uiPriority w:val="99"/>
    <w:semiHidden/>
    <w:unhideWhenUsed/>
    <w:rsid w:val="00887B61"/>
    <w:rPr>
      <w:rFonts w:cs="Times New Roman"/>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48254D"/>
    <w:rPr>
      <w:rFonts w:cs="Times New Roman"/>
      <w:sz w:val="16"/>
      <w:szCs w:val="16"/>
    </w:rPr>
  </w:style>
  <w:style w:type="character" w:customStyle="1" w:styleId="ListParagraphChar">
    <w:name w:val="List Paragraph Char"/>
    <w:aliases w:val="Body of text Char,Body of text+1 Char,Body of text+2 Char,Body of text+3 Char,Colorful List - Accent 11 Char,Colorful List - Accent 111 Char,Heading 10 Char,Heading 11 Char,Heading 111 Char,Heading 1111 Char,Heading 12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locked/>
    <w:rsid w:val="00C37B1B"/>
    <w:rPr>
      <w:rFonts w:ascii="Courier New" w:hAnsi="Courier New" w:cs="Courier New"/>
      <w:sz w:val="20"/>
      <w:szCs w:val="20"/>
      <w:lang w:val="en-US"/>
    </w:rPr>
  </w:style>
  <w:style w:type="table" w:customStyle="1" w:styleId="PlainTable41">
    <w:name w:val="Plain Table 41"/>
    <w:basedOn w:val="TableNormal"/>
    <w:uiPriority w:val="44"/>
    <w:rsid w:val="00C37B1B"/>
    <w:pPr>
      <w:spacing w:after="0" w:line="240" w:lineRule="auto"/>
    </w:pPr>
    <w:rPr>
      <w:lang w:val="en-US"/>
    </w:rPr>
    <w:tblPr>
      <w:tblStyleRowBandSize w:val="1"/>
      <w:tblStyleColBandSize w:val="1"/>
      <w:tblInd w:w="0" w:type="dxa"/>
      <w:tblCellMar>
        <w:top w:w="0" w:type="dxa"/>
        <w:left w:w="108" w:type="dxa"/>
        <w:bottom w:w="0" w:type="dxa"/>
        <w:right w:w="108" w:type="dxa"/>
      </w:tblCellMar>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i/>
      <w:color w:val="auto"/>
      <w:sz w:val="20"/>
      <w:szCs w:val="20"/>
    </w:rPr>
  </w:style>
  <w:style w:type="character" w:customStyle="1" w:styleId="Alishlah24HEading4Char">
    <w:name w:val="Alishlah_2.4 HEading4 Char"/>
    <w:basedOn w:val="Heading3Char"/>
    <w:link w:val="Alishlah24HEading4"/>
    <w:locked/>
    <w:rsid w:val="002B31FD"/>
    <w:rPr>
      <w:rFonts w:ascii="Palatino Linotype" w:eastAsiaTheme="majorEastAsia" w:hAnsi="Palatino Linotype" w:cs="Times New Roman"/>
      <w:i/>
      <w:color w:val="1F3763" w:themeColor="accent1" w:themeShade="7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imes New Roman"/>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locked/>
    <w:rsid w:val="008858AA"/>
    <w:rPr>
      <w:rFonts w:ascii="Times New Roman" w:hAnsi="Times New Roman" w:cs="Arial"/>
      <w:b/>
      <w:bCs/>
      <w:kern w:val="32"/>
      <w:sz w:val="32"/>
      <w:szCs w:val="32"/>
      <w:lang w:val="en-GB" w:eastAsia="en-GB"/>
    </w:rPr>
  </w:style>
  <w:style w:type="character" w:customStyle="1" w:styleId="Heading2Char">
    <w:name w:val="Heading 2 Char"/>
    <w:basedOn w:val="DefaultParagraphFont"/>
    <w:link w:val="Heading2"/>
    <w:uiPriority w:val="9"/>
    <w:qFormat/>
    <w:locked/>
    <w:rsid w:val="008858AA"/>
    <w:rPr>
      <w:rFonts w:asciiTheme="majorHAnsi" w:eastAsiaTheme="majorEastAsia" w:hAnsiTheme="majorHAnsi" w:cs="Times New Roman"/>
      <w:color w:val="2F5496" w:themeColor="accent1" w:themeShade="BF"/>
      <w:sz w:val="26"/>
      <w:szCs w:val="26"/>
    </w:rPr>
  </w:style>
  <w:style w:type="character" w:customStyle="1" w:styleId="Heading3Char">
    <w:name w:val="Heading 3 Char"/>
    <w:basedOn w:val="DefaultParagraphFont"/>
    <w:link w:val="Heading3"/>
    <w:uiPriority w:val="9"/>
    <w:qFormat/>
    <w:locked/>
    <w:rsid w:val="008858AA"/>
    <w:rPr>
      <w:rFonts w:asciiTheme="majorHAnsi" w:eastAsiaTheme="majorEastAsia" w:hAnsiTheme="majorHAnsi" w:cs="Times New Roman"/>
      <w:color w:val="1F3763" w:themeColor="accent1" w:themeShade="7F"/>
      <w:sz w:val="24"/>
      <w:szCs w:val="24"/>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hAnsi="Palatino Linotype"/>
      <w:b/>
      <w:color w:val="000000"/>
      <w:sz w:val="28"/>
      <w:szCs w:val="28"/>
      <w:lang w:val="en-GB" w:eastAsia="de-DE"/>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hAnsi="Palatino Linotype"/>
      <w:b/>
      <w:color w:val="000000"/>
      <w:sz w:val="20"/>
      <w:lang w:val="en-US" w:eastAsia="de-DE"/>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hAnsi="Palatino Linotype"/>
      <w:color w:val="000000"/>
      <w:sz w:val="18"/>
      <w:szCs w:val="20"/>
      <w:lang w:val="en-US" w:eastAsia="de-DE"/>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hAnsi="Palatino Linotype"/>
      <w:color w:val="000000"/>
      <w:sz w:val="18"/>
      <w:szCs w:val="18"/>
      <w:lang w:val="en-US" w:eastAsia="de-DE"/>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hAnsi="Palatino Linotype"/>
      <w:color w:val="000000"/>
      <w:sz w:val="18"/>
      <w:szCs w:val="20"/>
      <w:lang w:val="en-US" w:eastAsia="de-DE"/>
    </w:rPr>
  </w:style>
  <w:style w:type="paragraph" w:customStyle="1" w:styleId="Alishlah17abstract">
    <w:name w:val="Alishlah_1.7_abstract"/>
    <w:basedOn w:val="Alishlah31text"/>
    <w:next w:val="Alishlah18keywords"/>
    <w:qFormat/>
    <w:rsid w:val="00E45249"/>
    <w:pPr>
      <w:spacing w:line="240" w:lineRule="auto"/>
      <w:ind w:left="113" w:firstLine="0"/>
    </w:pPr>
    <w:rPr>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hAnsi="Palatino Linotype"/>
      <w:color w:val="000000"/>
      <w:sz w:val="20"/>
      <w:lang w:val="en-US" w:eastAsia="de-DE"/>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hAnsi="Palatino Linotype"/>
      <w:b/>
      <w:color w:val="000000"/>
      <w:sz w:val="20"/>
      <w:lang w:val="en-US" w:eastAsia="zh-CN"/>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hAnsi="Palatino Linotype"/>
      <w:color w:val="000000"/>
      <w:sz w:val="18"/>
      <w:szCs w:val="20"/>
      <w:lang w:val="en-US" w:eastAsia="de-DE"/>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Times New Roman"/>
      <w:b/>
      <w:bCs/>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hAnsi="Palatino Linotype"/>
      <w:color w:val="000000"/>
      <w:sz w:val="20"/>
      <w:szCs w:val="20"/>
      <w:lang w:val="en-US" w:eastAsia="de-DE"/>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style>
  <w:style w:type="paragraph" w:customStyle="1" w:styleId="Alishlah52figure">
    <w:name w:val="Alishlah_5.2_figure"/>
    <w:qFormat/>
    <w:rsid w:val="008E64A2"/>
    <w:pPr>
      <w:spacing w:after="0" w:line="240" w:lineRule="auto"/>
      <w:jc w:val="center"/>
    </w:pPr>
    <w:rPr>
      <w:rFonts w:ascii="Palatino Linotype" w:hAnsi="Palatino Linotype"/>
      <w:color w:val="000000"/>
      <w:sz w:val="24"/>
      <w:szCs w:val="20"/>
      <w:lang w:val="en-US" w:eastAsia="de-DE"/>
    </w:rPr>
  </w:style>
  <w:style w:type="paragraph" w:customStyle="1" w:styleId="MDPIheaderjournallogo">
    <w:name w:val="MDPI_header_journal_logo"/>
    <w:qFormat/>
    <w:rsid w:val="00EE35A7"/>
    <w:pPr>
      <w:adjustRightInd w:val="0"/>
      <w:snapToGrid w:val="0"/>
      <w:spacing w:after="0" w:line="240" w:lineRule="auto"/>
    </w:pPr>
    <w:rPr>
      <w:rFonts w:ascii="Palatino Linotype" w:hAnsi="Palatino Linotype"/>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b/>
      <w:bCs/>
      <w:i/>
      <w:noProof/>
      <w:color w:val="000000"/>
      <w:sz w:val="20"/>
      <w:lang w:val="en-US" w:eastAsia="de-DE"/>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noProof/>
      <w:sz w:val="20"/>
      <w:szCs w:val="20"/>
    </w:rPr>
  </w:style>
  <w:style w:type="character" w:styleId="Hyperlink">
    <w:name w:val="Hyperlink"/>
    <w:basedOn w:val="DefaultParagraphFont"/>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locked/>
    <w:rsid w:val="008E64A2"/>
    <w:rPr>
      <w:rFonts w:cs="Times New Roman"/>
    </w:rPr>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locked/>
    <w:rsid w:val="008E64A2"/>
    <w:rPr>
      <w:rFonts w:cs="Times New Roman"/>
    </w:rPr>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locked/>
    <w:rsid w:val="00056E9C"/>
    <w:rPr>
      <w:rFonts w:cs="Times New Roman"/>
      <w:sz w:val="20"/>
      <w:szCs w:val="20"/>
    </w:rPr>
  </w:style>
  <w:style w:type="character" w:styleId="FootnoteReference">
    <w:name w:val="footnote reference"/>
    <w:basedOn w:val="DefaultParagraphFont"/>
    <w:uiPriority w:val="99"/>
    <w:unhideWhenUsed/>
    <w:qFormat/>
    <w:rsid w:val="00056E9C"/>
    <w:rPr>
      <w:rFonts w:cs="Times New Roman"/>
      <w:vertAlign w:val="superscript"/>
    </w:rPr>
  </w:style>
  <w:style w:type="character" w:customStyle="1" w:styleId="UnresolvedMention1">
    <w:name w:val="Unresolved Mention1"/>
    <w:basedOn w:val="DefaultParagraphFont"/>
    <w:uiPriority w:val="99"/>
    <w:semiHidden/>
    <w:unhideWhenUsed/>
    <w:qFormat/>
    <w:rsid w:val="00BF0A78"/>
    <w:rPr>
      <w:rFonts w:cs="Times New Roman"/>
      <w:color w:val="605E5C"/>
      <w:shd w:val="clear" w:color="auto" w:fill="E1DFDD"/>
    </w:rPr>
  </w:style>
  <w:style w:type="character" w:styleId="Strong">
    <w:name w:val="Strong"/>
    <w:basedOn w:val="DefaultParagraphFont"/>
    <w:uiPriority w:val="22"/>
    <w:qFormat/>
    <w:rsid w:val="005A7A9C"/>
    <w:rPr>
      <w:rFonts w:cs="Times New Roman"/>
      <w:b/>
      <w:bCs/>
    </w:rPr>
  </w:style>
  <w:style w:type="paragraph" w:styleId="NormalWeb">
    <w:name w:val="Normal (Web)"/>
    <w:basedOn w:val="Normal"/>
    <w:uiPriority w:val="99"/>
    <w:unhideWhenUsed/>
    <w:qFormat/>
    <w:rsid w:val="00966B3D"/>
    <w:rPr>
      <w:rFonts w:ascii="Times New Roman" w:hAnsi="Times New Roman"/>
      <w:sz w:val="24"/>
      <w:szCs w:val="24"/>
    </w:rPr>
  </w:style>
  <w:style w:type="paragraph" w:styleId="ListParagraph">
    <w:name w:val="List Paragraph"/>
    <w:aliases w:val="Body of text,Body of text+1,Body of text+2,Body of text+3,Colorful List - Accent 11,Colorful List - Accent 111,Heading 10,Heading 11,Heading 111,Heading 1111,Heading 12,List Paragraph1,List Paragraph11,Medium Grid 1 - Accent 21"/>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rFonts w:cs="Times New Roman"/>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locked/>
    <w:rsid w:val="00366DA9"/>
    <w:rPr>
      <w:rFonts w:cs="Times New Roman"/>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locked/>
    <w:rsid w:val="00366DA9"/>
    <w:rPr>
      <w:rFonts w:cs="Times New Roman"/>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locked/>
    <w:rsid w:val="00366DA9"/>
    <w:rPr>
      <w:rFonts w:ascii="Segoe UI" w:hAnsi="Segoe UI" w:cs="Segoe UI"/>
      <w:sz w:val="18"/>
      <w:szCs w:val="18"/>
    </w:rPr>
  </w:style>
  <w:style w:type="character" w:customStyle="1" w:styleId="tlid-translation">
    <w:name w:val="tlid-translation"/>
    <w:basedOn w:val="DefaultParagraphFont"/>
    <w:rsid w:val="007E0F04"/>
    <w:rPr>
      <w:rFonts w:cs="Times New Roman"/>
    </w:rPr>
  </w:style>
  <w:style w:type="table" w:customStyle="1" w:styleId="PlainTable21">
    <w:name w:val="Plain Table 21"/>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rFonts w:cs="Times New Roman"/>
      <w:color w:val="605E5C"/>
      <w:shd w:val="clear" w:color="auto" w:fill="E1DFDD"/>
    </w:rPr>
  </w:style>
  <w:style w:type="character" w:customStyle="1" w:styleId="UnresolvedMention3">
    <w:name w:val="Unresolved Mention3"/>
    <w:basedOn w:val="DefaultParagraphFont"/>
    <w:uiPriority w:val="99"/>
    <w:semiHidden/>
    <w:unhideWhenUsed/>
    <w:rsid w:val="00784B9B"/>
    <w:rPr>
      <w:rFonts w:cs="Times New Roman"/>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hAnsi="Times New Roman"/>
      <w:b/>
      <w:bCs/>
      <w:sz w:val="24"/>
      <w:szCs w:val="24"/>
      <w:lang w:val="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hAnsi="Times New Roman"/>
      <w:sz w:val="24"/>
      <w:szCs w:val="24"/>
      <w:lang w:val="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hAnsi="Times New Roman"/>
      <w:i/>
      <w:sz w:val="24"/>
      <w:szCs w:val="24"/>
      <w:lang w:val="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hAnsi="Times New Roman"/>
      <w:sz w:val="24"/>
      <w:szCs w:val="24"/>
      <w:lang w:val="en-US"/>
    </w:rPr>
  </w:style>
  <w:style w:type="character" w:customStyle="1" w:styleId="BodyTextChar">
    <w:name w:val="Body Text Char"/>
    <w:basedOn w:val="DefaultParagraphFont"/>
    <w:link w:val="BodyText"/>
    <w:uiPriority w:val="1"/>
    <w:locked/>
    <w:rsid w:val="0061136D"/>
    <w:rPr>
      <w:rFonts w:ascii="Times New Roman" w:hAnsi="Times New Roman" w:cs="Times New Roman"/>
      <w:sz w:val="24"/>
      <w:szCs w:val="24"/>
      <w:lang w:val="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hAnsi="Times New Roman"/>
      <w:lang w:val="en-US"/>
    </w:rPr>
  </w:style>
  <w:style w:type="character" w:customStyle="1" w:styleId="lc">
    <w:name w:val="lc"/>
    <w:basedOn w:val="DefaultParagraphFont"/>
    <w:rsid w:val="0061136D"/>
    <w:rPr>
      <w:rFonts w:cs="Times New Roman"/>
    </w:rPr>
  </w:style>
  <w:style w:type="character" w:customStyle="1" w:styleId="kw">
    <w:name w:val="kw"/>
    <w:basedOn w:val="DefaultParagraphFont"/>
    <w:rsid w:val="0061136D"/>
    <w:rPr>
      <w:rFonts w:cs="Times New Roman"/>
    </w:rPr>
  </w:style>
  <w:style w:type="character" w:customStyle="1" w:styleId="rc">
    <w:name w:val="rc"/>
    <w:basedOn w:val="DefaultParagraphFont"/>
    <w:rsid w:val="0061136D"/>
    <w:rPr>
      <w:rFonts w:cs="Times New Roman"/>
    </w:rPr>
  </w:style>
  <w:style w:type="character" w:customStyle="1" w:styleId="st">
    <w:name w:val="st"/>
    <w:basedOn w:val="DefaultParagraphFont"/>
    <w:rsid w:val="0061136D"/>
    <w:rPr>
      <w:rFonts w:cs="Times New Roman"/>
    </w:rPr>
  </w:style>
  <w:style w:type="character" w:customStyle="1" w:styleId="UnresolvedMention4">
    <w:name w:val="Unresolved Mention4"/>
    <w:basedOn w:val="DefaultParagraphFont"/>
    <w:uiPriority w:val="99"/>
    <w:semiHidden/>
    <w:unhideWhenUsed/>
    <w:rsid w:val="00887B61"/>
    <w:rPr>
      <w:rFonts w:cs="Times New Roman"/>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48254D"/>
    <w:rPr>
      <w:rFonts w:cs="Times New Roman"/>
      <w:sz w:val="16"/>
      <w:szCs w:val="16"/>
    </w:rPr>
  </w:style>
  <w:style w:type="character" w:customStyle="1" w:styleId="ListParagraphChar">
    <w:name w:val="List Paragraph Char"/>
    <w:aliases w:val="Body of text Char,Body of text+1 Char,Body of text+2 Char,Body of text+3 Char,Colorful List - Accent 11 Char,Colorful List - Accent 111 Char,Heading 10 Char,Heading 11 Char,Heading 111 Char,Heading 1111 Char,Heading 12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locked/>
    <w:rsid w:val="00C37B1B"/>
    <w:rPr>
      <w:rFonts w:ascii="Courier New" w:hAnsi="Courier New" w:cs="Courier New"/>
      <w:sz w:val="20"/>
      <w:szCs w:val="20"/>
      <w:lang w:val="en-US"/>
    </w:rPr>
  </w:style>
  <w:style w:type="table" w:customStyle="1" w:styleId="PlainTable41">
    <w:name w:val="Plain Table 41"/>
    <w:basedOn w:val="TableNormal"/>
    <w:uiPriority w:val="44"/>
    <w:rsid w:val="00C37B1B"/>
    <w:pPr>
      <w:spacing w:after="0" w:line="240" w:lineRule="auto"/>
    </w:pPr>
    <w:rPr>
      <w:lang w:val="en-US"/>
    </w:rPr>
    <w:tblPr>
      <w:tblStyleRowBandSize w:val="1"/>
      <w:tblStyleColBandSize w:val="1"/>
      <w:tblInd w:w="0" w:type="dxa"/>
      <w:tblCellMar>
        <w:top w:w="0" w:type="dxa"/>
        <w:left w:w="108" w:type="dxa"/>
        <w:bottom w:w="0" w:type="dxa"/>
        <w:right w:w="108" w:type="dxa"/>
      </w:tblCellMar>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i/>
      <w:color w:val="auto"/>
      <w:sz w:val="20"/>
      <w:szCs w:val="20"/>
    </w:rPr>
  </w:style>
  <w:style w:type="character" w:customStyle="1" w:styleId="Alishlah24HEading4Char">
    <w:name w:val="Alishlah_2.4 HEading4 Char"/>
    <w:basedOn w:val="Heading3Char"/>
    <w:link w:val="Alishlah24HEading4"/>
    <w:locked/>
    <w:rsid w:val="002B31FD"/>
    <w:rPr>
      <w:rFonts w:ascii="Palatino Linotype" w:eastAsiaTheme="majorEastAsia" w:hAnsi="Palatino Linotype" w:cs="Times New Roman"/>
      <w:i/>
      <w:color w:val="1F3763"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creativecommons.org/licenses/by-nc-sa/4.0/"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wnloads\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B4392-4433-4352-983E-8FBDE4B08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202</TotalTime>
  <Pages>6</Pages>
  <Words>8783</Words>
  <Characters>50068</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keywords>, docId:174F1989A9CCD1469A7B30384A75C9EB</cp:keywords>
  <cp:lastModifiedBy>ASUS</cp:lastModifiedBy>
  <cp:revision>23</cp:revision>
  <cp:lastPrinted>2022-03-12T14:54:00Z</cp:lastPrinted>
  <dcterms:created xsi:type="dcterms:W3CDTF">2023-04-19T15:27:00Z</dcterms:created>
  <dcterms:modified xsi:type="dcterms:W3CDTF">2023-04-20T22:10:00Z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http://www.zotero.org/styles/apa-6th-edition</vt:lpwstr>
  </property>
  <property fmtid="{D5CDD505-2E9C-101B-9397-08002B2CF9AE}" pid="3" name="Mendeley Document_1">
    <vt:lpwstr>True</vt:lpwstr>
  </property>
  <property fmtid="{D5CDD505-2E9C-101B-9397-08002B2CF9AE}" pid="4" name="Mendeley Recent Style Id 0_1">
    <vt:lpwstr>http://www.zotero.org/styles/african-online-scientific-information-systems-harvard</vt:lpwstr>
  </property>
  <property fmtid="{D5CDD505-2E9C-101B-9397-08002B2CF9AE}" pid="5" name="Mendeley Recent Style Id 1_1">
    <vt:lpwstr>http://www.zotero.org/styles/apa-6th-edition</vt:lpwstr>
  </property>
  <property fmtid="{D5CDD505-2E9C-101B-9397-08002B2CF9AE}" pid="6" name="Mendeley Recent Style Id 2_1">
    <vt:lpwstr>http://www.zotero.org/styles/apa</vt:lpwstr>
  </property>
  <property fmtid="{D5CDD505-2E9C-101B-9397-08002B2CF9AE}" pid="7" name="Mendeley Recent Style Id 3_1">
    <vt:lpwstr>https://csl.mendeley.com/styles/454157031/apa-2-tes</vt:lpwstr>
  </property>
  <property fmtid="{D5CDD505-2E9C-101B-9397-08002B2CF9AE}" pid="8" name="Mendeley Recent Style Id 4_1">
    <vt:lpwstr>http://csl.mendeley.com/styles/454157031/apa-2-tes</vt:lpwstr>
  </property>
  <property fmtid="{D5CDD505-2E9C-101B-9397-08002B2CF9AE}" pid="9" name="Mendeley Recent Style Id 5_1">
    <vt:lpwstr>http://csl.mendeley.com/styles/454157031/american-sociological-association-edit</vt:lpwstr>
  </property>
  <property fmtid="{D5CDD505-2E9C-101B-9397-08002B2CF9AE}" pid="10" name="Mendeley Recent Style Id 6_1">
    <vt:lpwstr>http://www.zotero.org/styles/chicago-fullnote-bibliography</vt:lpwstr>
  </property>
  <property fmtid="{D5CDD505-2E9C-101B-9397-08002B2CF9AE}" pid="11" name="Mendeley Recent Style Id 7_1">
    <vt:lpwstr>http://www.zotero.org/styles/council-of-science-editors-author-date</vt:lpwstr>
  </property>
  <property fmtid="{D5CDD505-2E9C-101B-9397-08002B2CF9AE}" pid="12" name="Mendeley Recent Style Id 8_1">
    <vt:lpwstr>http://www.zotero.org/styles/ieee</vt:lpwstr>
  </property>
  <property fmtid="{D5CDD505-2E9C-101B-9397-08002B2CF9AE}" pid="13" name="Mendeley Recent Style Id 9_1">
    <vt:lpwstr>http://www.zotero.org/styles/university-of-south-africa-harvard</vt:lpwstr>
  </property>
  <property fmtid="{D5CDD505-2E9C-101B-9397-08002B2CF9AE}" pid="14" name="Mendeley Recent Style Name 0_1">
    <vt:lpwstr>African Online Scientific Information Systems - Harvard</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Psychological Association 7th edition</vt:lpwstr>
  </property>
  <property fmtid="{D5CDD505-2E9C-101B-9397-08002B2CF9AE}" pid="17" name="Mendeley Recent Style Name 3_1">
    <vt:lpwstr>American Psychological Association 7th edition - B. busro, M.Ag</vt:lpwstr>
  </property>
  <property fmtid="{D5CDD505-2E9C-101B-9397-08002B2CF9AE}" pid="18" name="Mendeley Recent Style Name 4_1">
    <vt:lpwstr>American Psychological Association 7th edition - B. busro, M.Ag</vt:lpwstr>
  </property>
  <property fmtid="{D5CDD505-2E9C-101B-9397-08002B2CF9AE}" pid="19" name="Mendeley Recent Style Name 5_1">
    <vt:lpwstr>American Sociological Association 6th edition - B. busro</vt:lpwstr>
  </property>
  <property fmtid="{D5CDD505-2E9C-101B-9397-08002B2CF9AE}" pid="20" name="Mendeley Recent Style Name 6_1">
    <vt:lpwstr>Chicago Manual of Style 17th edition (full note)</vt:lpwstr>
  </property>
  <property fmtid="{D5CDD505-2E9C-101B-9397-08002B2CF9AE}" pid="21" name="Mendeley Recent Style Name 7_1">
    <vt:lpwstr>Council of Science Editors, Name-Year (author-date)</vt:lpwstr>
  </property>
  <property fmtid="{D5CDD505-2E9C-101B-9397-08002B2CF9AE}" pid="22" name="Mendeley Recent Style Name 8_1">
    <vt:lpwstr>IEEE</vt:lpwstr>
  </property>
  <property fmtid="{D5CDD505-2E9C-101B-9397-08002B2CF9AE}" pid="23" name="Mendeley Recent Style Name 9_1">
    <vt:lpwstr>University of South Africa - Harvard</vt:lpwstr>
  </property>
  <property fmtid="{D5CDD505-2E9C-101B-9397-08002B2CF9AE}" pid="24" name="Mendeley Unique User Id_1">
    <vt:lpwstr>5b27c16e-2bc6-39f0-b10d-71fd29ed368b</vt:lpwstr>
  </property>
</Properties>
</file>