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723B12" w14:paraId="0BE170AE" w14:textId="77777777" w:rsidTr="008D3325">
        <w:trPr>
          <w:jc w:val="center"/>
        </w:trPr>
        <w:tc>
          <w:tcPr>
            <w:tcW w:w="1276" w:type="dxa"/>
            <w:vAlign w:val="center"/>
          </w:tcPr>
          <w:p w14:paraId="10A7AEB0" w14:textId="77777777" w:rsidR="003979C0" w:rsidRPr="00723B12" w:rsidRDefault="003979C0" w:rsidP="001F6AAB">
            <w:pPr>
              <w:rPr>
                <w:rFonts w:ascii="Georgia" w:hAnsi="Georgia"/>
                <w:sz w:val="6"/>
                <w:lang w:val="id-ID"/>
              </w:rPr>
            </w:pPr>
          </w:p>
          <w:p w14:paraId="0BE5551B" w14:textId="5DB3E1EF" w:rsidR="003979C0" w:rsidRPr="00723B12" w:rsidRDefault="003C335A" w:rsidP="001F6AAB">
            <w:pPr>
              <w:rPr>
                <w:rFonts w:ascii="Georgia" w:hAnsi="Georgia"/>
                <w:sz w:val="6"/>
                <w:lang w:val="id-ID"/>
              </w:rPr>
            </w:pPr>
            <w:r w:rsidRPr="00723B12">
              <w:rPr>
                <w:rFonts w:ascii="Georgia" w:hAnsi="Georgia"/>
                <w:noProof/>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723B12" w:rsidRDefault="003979C0" w:rsidP="001F6AAB">
            <w:pPr>
              <w:rPr>
                <w:rFonts w:ascii="Georgia" w:hAnsi="Georgia"/>
                <w:sz w:val="6"/>
                <w:lang w:val="id-ID"/>
              </w:rPr>
            </w:pPr>
          </w:p>
        </w:tc>
        <w:tc>
          <w:tcPr>
            <w:tcW w:w="7824" w:type="dxa"/>
            <w:vAlign w:val="center"/>
          </w:tcPr>
          <w:p w14:paraId="5C1DA159" w14:textId="77777777" w:rsidR="003979C0" w:rsidRPr="00723B12" w:rsidRDefault="003979C0" w:rsidP="003979C0">
            <w:pPr>
              <w:jc w:val="center"/>
              <w:rPr>
                <w:rFonts w:ascii="Georgia" w:hAnsi="Georgia"/>
                <w:sz w:val="16"/>
                <w:lang w:val="id-ID"/>
              </w:rPr>
            </w:pPr>
            <w:r w:rsidRPr="00723B12">
              <w:rPr>
                <w:rFonts w:ascii="Georgia" w:hAnsi="Georgia"/>
                <w:sz w:val="16"/>
                <w:lang w:val="id-ID"/>
              </w:rPr>
              <w:t xml:space="preserve">Contents list avaliable at </w:t>
            </w:r>
            <w:hyperlink r:id="rId10" w:history="1">
              <w:r w:rsidRPr="00723B12">
                <w:rPr>
                  <w:rStyle w:val="Hyperlink"/>
                  <w:rFonts w:ascii="Georgia" w:hAnsi="Georgia"/>
                  <w:sz w:val="16"/>
                  <w:u w:val="none"/>
                  <w:lang w:val="id-ID"/>
                </w:rPr>
                <w:t>Directory of Open Access Journals (DOAJ)</w:t>
              </w:r>
            </w:hyperlink>
          </w:p>
          <w:p w14:paraId="77C3B7CF" w14:textId="15022337" w:rsidR="003979C0" w:rsidRPr="00723B12" w:rsidRDefault="003979C0" w:rsidP="003979C0">
            <w:pPr>
              <w:jc w:val="center"/>
              <w:rPr>
                <w:rFonts w:ascii="Georgia" w:hAnsi="Georgia"/>
                <w:b/>
                <w:sz w:val="28"/>
                <w:szCs w:val="28"/>
                <w:lang w:val="id-ID"/>
              </w:rPr>
            </w:pPr>
            <w:r w:rsidRPr="00723B12">
              <w:rPr>
                <w:rFonts w:ascii="Georgia" w:hAnsi="Georgia"/>
                <w:b/>
                <w:sz w:val="28"/>
                <w:szCs w:val="28"/>
                <w:lang w:val="id-ID"/>
              </w:rPr>
              <w:t>Al-</w:t>
            </w:r>
            <w:r w:rsidR="00004FDF" w:rsidRPr="00723B12">
              <w:rPr>
                <w:rFonts w:ascii="Georgia" w:hAnsi="Georgia"/>
                <w:b/>
                <w:sz w:val="28"/>
                <w:szCs w:val="28"/>
                <w:lang w:val="id-ID"/>
              </w:rPr>
              <w:t>Ishlah</w:t>
            </w:r>
            <w:r w:rsidRPr="00723B12">
              <w:rPr>
                <w:rFonts w:ascii="Georgia" w:hAnsi="Georgia"/>
                <w:b/>
                <w:sz w:val="28"/>
                <w:szCs w:val="28"/>
                <w:lang w:val="id-ID"/>
              </w:rPr>
              <w:t xml:space="preserve">: </w:t>
            </w:r>
            <w:r w:rsidR="00882628" w:rsidRPr="00723B12">
              <w:rPr>
                <w:rFonts w:ascii="Georgia" w:hAnsi="Georgia"/>
                <w:b/>
                <w:sz w:val="28"/>
                <w:szCs w:val="28"/>
                <w:lang w:val="id-ID"/>
              </w:rPr>
              <w:t>J</w:t>
            </w:r>
            <w:r w:rsidR="008D3325" w:rsidRPr="00723B12">
              <w:rPr>
                <w:rFonts w:ascii="Georgia" w:hAnsi="Georgia"/>
                <w:b/>
                <w:sz w:val="28"/>
                <w:szCs w:val="28"/>
                <w:lang w:val="id-ID"/>
              </w:rPr>
              <w:t>urnal Pendidikan</w:t>
            </w:r>
          </w:p>
          <w:p w14:paraId="2A6F704B" w14:textId="4CA00511" w:rsidR="003979C0" w:rsidRPr="00723B12" w:rsidRDefault="003979C0" w:rsidP="003979C0">
            <w:pPr>
              <w:pStyle w:val="Footer"/>
              <w:jc w:val="center"/>
              <w:rPr>
                <w:rFonts w:ascii="Georgia" w:hAnsi="Georgia"/>
                <w:lang w:val="id-ID"/>
              </w:rPr>
            </w:pPr>
            <w:r w:rsidRPr="00723B12">
              <w:rPr>
                <w:rFonts w:ascii="Georgia" w:hAnsi="Georgia"/>
                <w:shd w:val="clear" w:color="auto" w:fill="FFFFFF"/>
              </w:rPr>
              <w:t>ISSN: </w:t>
            </w:r>
            <w:hyperlink r:id="rId11" w:history="1">
              <w:r w:rsidR="001C1DBB" w:rsidRPr="00723B12">
                <w:rPr>
                  <w:rStyle w:val="Hyperlink"/>
                  <w:rFonts w:ascii="Georgia" w:hAnsi="Georgia"/>
                  <w:u w:val="none"/>
                  <w:shd w:val="clear" w:color="auto" w:fill="FFFFFF"/>
                  <w:lang w:val="id-ID"/>
                </w:rPr>
                <w:t>2087-9490</w:t>
              </w:r>
              <w:r w:rsidRPr="00723B12">
                <w:rPr>
                  <w:rStyle w:val="Hyperlink"/>
                  <w:rFonts w:ascii="Georgia" w:hAnsi="Georgia"/>
                  <w:shd w:val="clear" w:color="auto" w:fill="FFFFFF"/>
                </w:rPr>
                <w:t> </w:t>
              </w:r>
            </w:hyperlink>
            <w:r w:rsidRPr="00723B12">
              <w:rPr>
                <w:rFonts w:ascii="Georgia" w:hAnsi="Georgia"/>
                <w:shd w:val="clear" w:color="auto" w:fill="FFFFFF"/>
              </w:rPr>
              <w:t>(Printed); </w:t>
            </w:r>
            <w:hyperlink r:id="rId12" w:history="1">
              <w:r w:rsidR="001C1DBB" w:rsidRPr="00723B12">
                <w:rPr>
                  <w:rStyle w:val="Hyperlink"/>
                  <w:rFonts w:ascii="Georgia" w:hAnsi="Georgia"/>
                  <w:shd w:val="clear" w:color="auto" w:fill="FFFFFF"/>
                  <w:lang w:val="id-ID"/>
                </w:rPr>
                <w:t>2597-940X</w:t>
              </w:r>
            </w:hyperlink>
            <w:r w:rsidR="001C1DBB" w:rsidRPr="00723B12">
              <w:rPr>
                <w:rFonts w:ascii="Georgia" w:hAnsi="Georgia"/>
                <w:shd w:val="clear" w:color="auto" w:fill="FFFFFF"/>
                <w:lang w:val="id-ID"/>
              </w:rPr>
              <w:t xml:space="preserve"> (Online)</w:t>
            </w:r>
          </w:p>
          <w:p w14:paraId="1F30D34E" w14:textId="1C2A3C9E" w:rsidR="003979C0" w:rsidRPr="00723B12" w:rsidRDefault="003979C0" w:rsidP="003979C0">
            <w:pPr>
              <w:jc w:val="center"/>
              <w:rPr>
                <w:rFonts w:ascii="Georgia" w:hAnsi="Georgia"/>
                <w:lang w:val="id-ID"/>
              </w:rPr>
            </w:pPr>
            <w:r w:rsidRPr="00723B12">
              <w:rPr>
                <w:rFonts w:ascii="Georgia" w:hAnsi="Georgia"/>
                <w:lang w:val="id-ID"/>
              </w:rPr>
              <w:t xml:space="preserve">Journal Homepage: </w:t>
            </w:r>
            <w:hyperlink r:id="rId13" w:history="1">
              <w:r w:rsidR="001C1DBB" w:rsidRPr="00723B12">
                <w:rPr>
                  <w:rStyle w:val="Hyperlink"/>
                  <w:rFonts w:ascii="Georgia" w:hAnsi="Georgia"/>
                  <w:u w:val="none"/>
                  <w:lang w:val="id-ID"/>
                </w:rPr>
                <w:t>http://www.journal.staihubbulwathan.id/index.php/alishlah</w:t>
              </w:r>
            </w:hyperlink>
          </w:p>
        </w:tc>
        <w:tc>
          <w:tcPr>
            <w:tcW w:w="1243" w:type="dxa"/>
            <w:vAlign w:val="center"/>
          </w:tcPr>
          <w:p w14:paraId="2F2725CA" w14:textId="77777777" w:rsidR="003979C0" w:rsidRPr="00723B12" w:rsidRDefault="003979C0" w:rsidP="001F6AAB">
            <w:pPr>
              <w:jc w:val="right"/>
              <w:rPr>
                <w:rFonts w:ascii="Georgia" w:hAnsi="Georgia"/>
                <w:lang w:val="id-ID"/>
              </w:rPr>
            </w:pPr>
            <w:r w:rsidRPr="00723B12">
              <w:rPr>
                <w:rFonts w:ascii="Georgia" w:hAnsi="Georgia"/>
                <w:noProof/>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723B12" w:rsidRDefault="00F052E7" w:rsidP="00F70FF8">
      <w:pPr>
        <w:spacing w:after="0" w:line="240" w:lineRule="auto"/>
        <w:rPr>
          <w:rFonts w:ascii="Georgia" w:hAnsi="Georgia"/>
          <w:sz w:val="20"/>
          <w:szCs w:val="20"/>
        </w:rPr>
      </w:pPr>
    </w:p>
    <w:p w14:paraId="506C1F9B" w14:textId="77777777" w:rsidR="003979C0" w:rsidRPr="00723B12" w:rsidRDefault="003979C0" w:rsidP="00F70FF8">
      <w:pPr>
        <w:spacing w:after="0" w:line="240" w:lineRule="auto"/>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723B12" w14:paraId="70E098E1" w14:textId="77777777" w:rsidTr="00045523">
        <w:trPr>
          <w:jc w:val="center"/>
        </w:trPr>
        <w:tc>
          <w:tcPr>
            <w:tcW w:w="9883" w:type="dxa"/>
            <w:gridSpan w:val="2"/>
            <w:tcBorders>
              <w:bottom w:val="nil"/>
            </w:tcBorders>
            <w:vAlign w:val="center"/>
          </w:tcPr>
          <w:p w14:paraId="10D01A1F" w14:textId="32C19B3B" w:rsidR="00B10F0A" w:rsidRPr="00E2591C" w:rsidRDefault="00E759F5" w:rsidP="00E2591C">
            <w:pPr>
              <w:pStyle w:val="ListParagraph"/>
              <w:ind w:left="0"/>
              <w:jc w:val="both"/>
              <w:rPr>
                <w:rStyle w:val="kcmread1114"/>
                <w:rFonts w:ascii="Georgia" w:hAnsi="Georgia"/>
                <w:b/>
                <w:sz w:val="36"/>
              </w:rPr>
            </w:pPr>
            <w:r>
              <w:rPr>
                <w:rStyle w:val="kcmread1114"/>
                <w:rFonts w:ascii="Georgia" w:hAnsi="Georgia"/>
                <w:b/>
                <w:sz w:val="36"/>
              </w:rPr>
              <w:t xml:space="preserve">Pengaruh </w:t>
            </w:r>
            <w:r w:rsidR="008A1E16">
              <w:rPr>
                <w:rStyle w:val="kcmread1114"/>
                <w:rFonts w:ascii="Georgia" w:hAnsi="Georgia"/>
                <w:b/>
                <w:sz w:val="36"/>
              </w:rPr>
              <w:t xml:space="preserve">Model </w:t>
            </w:r>
            <w:r w:rsidR="00E2591C">
              <w:rPr>
                <w:rStyle w:val="kcmread1114"/>
                <w:rFonts w:ascii="Georgia" w:hAnsi="Georgia"/>
                <w:b/>
                <w:sz w:val="36"/>
              </w:rPr>
              <w:t>Teams Games Tournament</w:t>
            </w:r>
            <w:r>
              <w:rPr>
                <w:rStyle w:val="kcmread1114"/>
                <w:rFonts w:ascii="Georgia" w:hAnsi="Georgia"/>
                <w:b/>
                <w:sz w:val="36"/>
              </w:rPr>
              <w:t xml:space="preserve"> Terhadap Hasil Belajar Kognitif Siswa</w:t>
            </w:r>
            <w:r w:rsidR="00E2591C">
              <w:rPr>
                <w:rStyle w:val="kcmread1114"/>
                <w:rFonts w:ascii="Georgia" w:hAnsi="Georgia"/>
                <w:b/>
                <w:sz w:val="36"/>
              </w:rPr>
              <w:t>: Konsep Lari Estafet</w:t>
            </w:r>
          </w:p>
          <w:p w14:paraId="651D7035" w14:textId="77777777" w:rsidR="003D7C70" w:rsidRPr="00723B12" w:rsidRDefault="003D7C70" w:rsidP="00F70FF8">
            <w:pPr>
              <w:pStyle w:val="ListParagraph"/>
              <w:ind w:left="0"/>
              <w:rPr>
                <w:rStyle w:val="kcmread1114"/>
                <w:rFonts w:ascii="Georgia" w:hAnsi="Georgia"/>
                <w:b/>
                <w:lang w:val="id-ID"/>
              </w:rPr>
            </w:pPr>
          </w:p>
          <w:p w14:paraId="383724AA" w14:textId="4EC10CDF" w:rsidR="004B4465" w:rsidRPr="00723B12" w:rsidRDefault="00E2591C" w:rsidP="004120BF">
            <w:pPr>
              <w:shd w:val="clear" w:color="auto" w:fill="FFFFFF"/>
              <w:jc w:val="both"/>
              <w:rPr>
                <w:rFonts w:ascii="Georgia" w:hAnsi="Georgia"/>
                <w:b/>
                <w:bCs/>
                <w:sz w:val="24"/>
              </w:rPr>
            </w:pPr>
            <w:r>
              <w:rPr>
                <w:rFonts w:ascii="Georgia" w:hAnsi="Georgia"/>
                <w:b/>
                <w:bCs/>
                <w:sz w:val="24"/>
              </w:rPr>
              <w:t>Albertus Fenanlampir</w:t>
            </w:r>
            <w:r w:rsidR="00BC2EA3" w:rsidRPr="00723B12">
              <w:rPr>
                <w:rFonts w:ascii="Georgia" w:hAnsi="Georgia"/>
                <w:b/>
                <w:bCs/>
                <w:sz w:val="24"/>
              </w:rPr>
              <w:t xml:space="preserve"> </w:t>
            </w:r>
            <w:r w:rsidR="004B4465" w:rsidRPr="00723B12">
              <w:rPr>
                <w:rStyle w:val="FootnoteReference"/>
                <w:rFonts w:ascii="Georgia" w:hAnsi="Georgia"/>
                <w:b/>
                <w:bCs/>
                <w:sz w:val="24"/>
              </w:rPr>
              <w:footnoteReference w:id="1"/>
            </w:r>
            <w:r w:rsidR="004B4465" w:rsidRPr="00723B12">
              <w:rPr>
                <w:rFonts w:ascii="Georgia" w:hAnsi="Georgia"/>
                <w:b/>
                <w:bCs/>
                <w:sz w:val="24"/>
                <w:lang w:val="id-ID"/>
              </w:rPr>
              <w:t xml:space="preserve"> </w:t>
            </w:r>
          </w:p>
          <w:p w14:paraId="34557390" w14:textId="6F9E2EC3" w:rsidR="000D63D4" w:rsidRPr="00723B12" w:rsidRDefault="000D63D4" w:rsidP="004B4465">
            <w:pPr>
              <w:shd w:val="clear" w:color="auto" w:fill="FFFFFF"/>
              <w:jc w:val="both"/>
              <w:rPr>
                <w:rFonts w:ascii="Georgia" w:hAnsi="Georgia"/>
                <w:b/>
                <w:bCs/>
                <w:sz w:val="24"/>
                <w:lang w:val="id-ID"/>
              </w:rPr>
            </w:pPr>
            <w:r w:rsidRPr="00723B12">
              <w:rPr>
                <w:rFonts w:ascii="Georgia" w:hAnsi="Georgia"/>
                <w:sz w:val="24"/>
              </w:rPr>
              <w:t>DOI</w:t>
            </w:r>
            <w:r w:rsidRPr="00723B12">
              <w:rPr>
                <w:rFonts w:ascii="Georgia" w:hAnsi="Georgia"/>
                <w:b/>
                <w:bCs/>
                <w:sz w:val="24"/>
              </w:rPr>
              <w:t>:</w:t>
            </w:r>
          </w:p>
          <w:p w14:paraId="40900A1C" w14:textId="483F1C8D" w:rsidR="00F052E7" w:rsidRPr="00723B12" w:rsidRDefault="00F052E7" w:rsidP="00BC2EA3">
            <w:pPr>
              <w:shd w:val="clear" w:color="auto" w:fill="FFFFFF"/>
              <w:jc w:val="both"/>
              <w:rPr>
                <w:rStyle w:val="kcmread1114"/>
                <w:rFonts w:ascii="Georgia" w:hAnsi="Georgia"/>
                <w:lang w:val="id-ID"/>
              </w:rPr>
            </w:pPr>
          </w:p>
        </w:tc>
      </w:tr>
      <w:tr w:rsidR="00F052E7" w:rsidRPr="00723B12"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723B12" w:rsidRDefault="00F052E7" w:rsidP="00F70FF8">
            <w:pPr>
              <w:shd w:val="clear" w:color="auto" w:fill="FFFFFF"/>
              <w:rPr>
                <w:rFonts w:ascii="Georgia" w:hAnsi="Georgia"/>
                <w:b/>
                <w:bCs/>
                <w:lang w:val="id-ID"/>
              </w:rPr>
            </w:pPr>
          </w:p>
        </w:tc>
        <w:tc>
          <w:tcPr>
            <w:tcW w:w="7384" w:type="dxa"/>
            <w:tcBorders>
              <w:left w:val="nil"/>
              <w:bottom w:val="single" w:sz="2" w:space="0" w:color="auto"/>
            </w:tcBorders>
          </w:tcPr>
          <w:p w14:paraId="4061BF10" w14:textId="77777777" w:rsidR="00F052E7" w:rsidRPr="00723B12" w:rsidRDefault="00F052E7" w:rsidP="00F70FF8">
            <w:pPr>
              <w:pStyle w:val="ListParagraph"/>
              <w:ind w:left="0"/>
              <w:rPr>
                <w:rStyle w:val="kcmread1114"/>
                <w:rFonts w:ascii="Georgia" w:hAnsi="Georgia"/>
                <w:b/>
                <w:lang w:val="id-ID"/>
              </w:rPr>
            </w:pPr>
          </w:p>
        </w:tc>
      </w:tr>
      <w:tr w:rsidR="00F052E7" w:rsidRPr="00723B12"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25BC9395" w:rsidR="00F052E7" w:rsidRPr="004120BF" w:rsidRDefault="004120BF" w:rsidP="00F70FF8">
            <w:pPr>
              <w:shd w:val="clear" w:color="auto" w:fill="FFFFFF"/>
              <w:rPr>
                <w:rFonts w:ascii="Georgia" w:hAnsi="Georgia"/>
                <w:b/>
                <w:bCs/>
              </w:rPr>
            </w:pPr>
            <w:r>
              <w:rPr>
                <w:rFonts w:ascii="Georgia" w:hAnsi="Georgia"/>
                <w:b/>
                <w:bCs/>
              </w:rPr>
              <w:t>Info Artikel</w:t>
            </w:r>
          </w:p>
        </w:tc>
        <w:tc>
          <w:tcPr>
            <w:tcW w:w="7384" w:type="dxa"/>
            <w:tcBorders>
              <w:top w:val="single" w:sz="2" w:space="0" w:color="auto"/>
              <w:left w:val="nil"/>
              <w:bottom w:val="single" w:sz="2" w:space="0" w:color="auto"/>
            </w:tcBorders>
            <w:vAlign w:val="center"/>
          </w:tcPr>
          <w:p w14:paraId="13D1F80F" w14:textId="07869F01" w:rsidR="00F052E7" w:rsidRPr="004120BF" w:rsidRDefault="004120BF" w:rsidP="00F70FF8">
            <w:pPr>
              <w:tabs>
                <w:tab w:val="left" w:pos="3268"/>
              </w:tabs>
              <w:rPr>
                <w:rFonts w:ascii="Georgia" w:eastAsia="DFKai-SB" w:hAnsi="Georgia"/>
                <w:b/>
              </w:rPr>
            </w:pPr>
            <w:r>
              <w:rPr>
                <w:rFonts w:ascii="Georgia" w:eastAsia="DFKai-SB" w:hAnsi="Georgia"/>
                <w:b/>
                <w:lang w:val="id-ID"/>
              </w:rPr>
              <w:t>Abstr</w:t>
            </w:r>
            <w:r>
              <w:rPr>
                <w:rFonts w:ascii="Georgia" w:eastAsia="DFKai-SB" w:hAnsi="Georgia"/>
                <w:b/>
              </w:rPr>
              <w:t>act</w:t>
            </w:r>
          </w:p>
        </w:tc>
      </w:tr>
      <w:tr w:rsidR="00F052E7" w:rsidRPr="00723B12"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723B12" w:rsidRDefault="00F052E7" w:rsidP="00F70FF8">
            <w:pPr>
              <w:shd w:val="clear" w:color="auto" w:fill="FFFFFF"/>
              <w:rPr>
                <w:rFonts w:ascii="Georgia" w:hAnsi="Georgia"/>
                <w:b/>
                <w:bCs/>
                <w:lang w:val="id-ID"/>
              </w:rPr>
            </w:pPr>
          </w:p>
        </w:tc>
        <w:tc>
          <w:tcPr>
            <w:tcW w:w="7384" w:type="dxa"/>
            <w:tcBorders>
              <w:top w:val="single" w:sz="2" w:space="0" w:color="auto"/>
              <w:left w:val="nil"/>
              <w:bottom w:val="nil"/>
            </w:tcBorders>
            <w:vAlign w:val="center"/>
          </w:tcPr>
          <w:p w14:paraId="345C2581" w14:textId="77777777" w:rsidR="00F052E7" w:rsidRPr="00723B12" w:rsidRDefault="00F052E7" w:rsidP="00F70FF8">
            <w:pPr>
              <w:tabs>
                <w:tab w:val="left" w:pos="3268"/>
              </w:tabs>
              <w:rPr>
                <w:rFonts w:ascii="Georgia" w:eastAsia="DFKai-SB" w:hAnsi="Georgia"/>
                <w:b/>
                <w:lang w:val="id-ID"/>
              </w:rPr>
            </w:pPr>
          </w:p>
        </w:tc>
      </w:tr>
      <w:tr w:rsidR="00F052E7" w:rsidRPr="00723B12" w14:paraId="07699943" w14:textId="77777777" w:rsidTr="00045523">
        <w:trPr>
          <w:jc w:val="center"/>
        </w:trPr>
        <w:tc>
          <w:tcPr>
            <w:tcW w:w="2499" w:type="dxa"/>
            <w:tcBorders>
              <w:top w:val="nil"/>
              <w:bottom w:val="single" w:sz="2" w:space="0" w:color="auto"/>
              <w:right w:val="nil"/>
            </w:tcBorders>
          </w:tcPr>
          <w:p w14:paraId="2D32716D" w14:textId="77777777" w:rsidR="003D7C70" w:rsidRPr="00723B12" w:rsidRDefault="003D7C70" w:rsidP="003D7C70">
            <w:pPr>
              <w:shd w:val="clear" w:color="auto" w:fill="FFFFFF"/>
              <w:rPr>
                <w:rFonts w:ascii="Georgia" w:hAnsi="Georgia"/>
                <w:bCs/>
                <w:iCs/>
                <w:lang w:val="id-ID"/>
              </w:rPr>
            </w:pPr>
            <w:r w:rsidRPr="00723B12">
              <w:rPr>
                <w:rFonts w:ascii="Georgia" w:hAnsi="Georgia"/>
                <w:iCs/>
                <w:shd w:val="clear" w:color="auto" w:fill="FFFFFF"/>
                <w:lang w:val="id-ID"/>
              </w:rPr>
              <w:t>Keywords</w:t>
            </w:r>
            <w:r w:rsidRPr="00723B12">
              <w:rPr>
                <w:rFonts w:ascii="Georgia" w:hAnsi="Georgia"/>
                <w:bCs/>
                <w:iCs/>
                <w:lang w:val="id-ID"/>
              </w:rPr>
              <w:t>:</w:t>
            </w:r>
          </w:p>
          <w:p w14:paraId="4C25B0D0" w14:textId="77777777" w:rsidR="007343F6" w:rsidRPr="007343F6" w:rsidRDefault="007343F6" w:rsidP="007343F6">
            <w:pPr>
              <w:shd w:val="clear" w:color="auto" w:fill="FFFFFF"/>
              <w:rPr>
                <w:rFonts w:ascii="Georgia" w:hAnsi="Georgia"/>
                <w:i/>
                <w:shd w:val="clear" w:color="auto" w:fill="FFFFFF"/>
                <w:lang w:val="id-ID"/>
              </w:rPr>
            </w:pPr>
            <w:r w:rsidRPr="007343F6">
              <w:rPr>
                <w:rFonts w:ascii="Georgia" w:hAnsi="Georgia"/>
                <w:i/>
                <w:shd w:val="clear" w:color="auto" w:fill="FFFFFF"/>
                <w:lang w:val="id-ID"/>
              </w:rPr>
              <w:t>Physical education</w:t>
            </w:r>
          </w:p>
          <w:p w14:paraId="5CFCE823" w14:textId="77777777" w:rsidR="007343F6" w:rsidRPr="007343F6" w:rsidRDefault="007343F6" w:rsidP="007343F6">
            <w:pPr>
              <w:shd w:val="clear" w:color="auto" w:fill="FFFFFF"/>
              <w:rPr>
                <w:rFonts w:ascii="Georgia" w:hAnsi="Georgia"/>
                <w:i/>
                <w:shd w:val="clear" w:color="auto" w:fill="FFFFFF"/>
                <w:lang w:val="id-ID"/>
              </w:rPr>
            </w:pPr>
            <w:r w:rsidRPr="007343F6">
              <w:rPr>
                <w:rFonts w:ascii="Georgia" w:hAnsi="Georgia"/>
                <w:i/>
                <w:shd w:val="clear" w:color="auto" w:fill="FFFFFF"/>
                <w:lang w:val="id-ID"/>
              </w:rPr>
              <w:t>TGT Cooperative</w:t>
            </w:r>
          </w:p>
          <w:p w14:paraId="6D6278FA" w14:textId="77777777" w:rsidR="007343F6" w:rsidRPr="007343F6" w:rsidRDefault="007343F6" w:rsidP="007343F6">
            <w:pPr>
              <w:shd w:val="clear" w:color="auto" w:fill="FFFFFF"/>
              <w:rPr>
                <w:rFonts w:ascii="Georgia" w:hAnsi="Georgia"/>
                <w:i/>
                <w:shd w:val="clear" w:color="auto" w:fill="FFFFFF"/>
                <w:lang w:val="id-ID"/>
              </w:rPr>
            </w:pPr>
            <w:r w:rsidRPr="007343F6">
              <w:rPr>
                <w:rFonts w:ascii="Georgia" w:hAnsi="Georgia"/>
                <w:i/>
                <w:shd w:val="clear" w:color="auto" w:fill="FFFFFF"/>
                <w:lang w:val="id-ID"/>
              </w:rPr>
              <w:t>Cognitive learning outcomes</w:t>
            </w:r>
          </w:p>
          <w:p w14:paraId="0DB3F5D8" w14:textId="24315650" w:rsidR="00F052E7" w:rsidRPr="00874F23" w:rsidRDefault="00874F23" w:rsidP="007343F6">
            <w:pPr>
              <w:shd w:val="clear" w:color="auto" w:fill="FFFFFF"/>
              <w:rPr>
                <w:rFonts w:ascii="Georgia" w:hAnsi="Georgia"/>
                <w:bCs/>
                <w:i/>
              </w:rPr>
            </w:pPr>
            <w:r>
              <w:rPr>
                <w:rFonts w:ascii="Georgia" w:hAnsi="Georgia"/>
                <w:i/>
                <w:shd w:val="clear" w:color="auto" w:fill="FFFFFF"/>
                <w:lang w:val="id-ID"/>
              </w:rPr>
              <w:t>Relay r</w:t>
            </w:r>
            <w:r>
              <w:rPr>
                <w:rFonts w:ascii="Georgia" w:hAnsi="Georgia"/>
                <w:i/>
                <w:shd w:val="clear" w:color="auto" w:fill="FFFFFF"/>
              </w:rPr>
              <w:t>ace</w:t>
            </w:r>
          </w:p>
          <w:p w14:paraId="4BEB1411" w14:textId="77777777" w:rsidR="00F052E7" w:rsidRPr="00723B12" w:rsidRDefault="00F052E7" w:rsidP="00F70FF8">
            <w:pPr>
              <w:shd w:val="clear" w:color="auto" w:fill="FFFFFF"/>
              <w:rPr>
                <w:rFonts w:ascii="Georgia" w:hAnsi="Georgia"/>
                <w:bCs/>
                <w:i/>
                <w:lang w:val="id-ID"/>
              </w:rPr>
            </w:pPr>
          </w:p>
          <w:p w14:paraId="146DBDA6" w14:textId="1EA9B5D5" w:rsidR="00F052E7" w:rsidRPr="00723B12" w:rsidRDefault="00F052E7" w:rsidP="00F70FF8">
            <w:pPr>
              <w:shd w:val="clear" w:color="auto" w:fill="FFFFFF"/>
              <w:rPr>
                <w:rFonts w:ascii="Georgia" w:hAnsi="Georgia"/>
                <w:bCs/>
                <w:i/>
                <w:lang w:val="id-ID"/>
              </w:rPr>
            </w:pPr>
          </w:p>
          <w:p w14:paraId="6FB181A5" w14:textId="07C78BE9" w:rsidR="003D7C70" w:rsidRPr="00723B12" w:rsidRDefault="003D7C70" w:rsidP="00F70FF8">
            <w:pPr>
              <w:shd w:val="clear" w:color="auto" w:fill="FFFFFF"/>
              <w:rPr>
                <w:rFonts w:ascii="Georgia" w:hAnsi="Georgia"/>
                <w:bCs/>
                <w:i/>
                <w:lang w:val="id-ID"/>
              </w:rPr>
            </w:pPr>
          </w:p>
          <w:p w14:paraId="0D4F0B97" w14:textId="77777777" w:rsidR="003D7C70" w:rsidRPr="00723B12" w:rsidRDefault="003D7C70" w:rsidP="00F70FF8">
            <w:pPr>
              <w:shd w:val="clear" w:color="auto" w:fill="FFFFFF"/>
              <w:rPr>
                <w:rFonts w:ascii="Georgia" w:hAnsi="Georgia"/>
                <w:bCs/>
                <w:i/>
                <w:lang w:val="id-ID"/>
              </w:rPr>
            </w:pPr>
          </w:p>
          <w:p w14:paraId="2CA1103D" w14:textId="77777777" w:rsidR="007343F6" w:rsidRDefault="007343F6" w:rsidP="003D7C70">
            <w:pPr>
              <w:shd w:val="clear" w:color="auto" w:fill="FFFFFF"/>
              <w:rPr>
                <w:rFonts w:ascii="Georgia" w:hAnsi="Georgia"/>
                <w:bCs/>
                <w:iCs/>
              </w:rPr>
            </w:pPr>
          </w:p>
          <w:p w14:paraId="39F8D079" w14:textId="77777777" w:rsidR="007343F6" w:rsidRDefault="007343F6" w:rsidP="003D7C70">
            <w:pPr>
              <w:shd w:val="clear" w:color="auto" w:fill="FFFFFF"/>
              <w:rPr>
                <w:rFonts w:ascii="Georgia" w:hAnsi="Georgia"/>
                <w:bCs/>
                <w:iCs/>
              </w:rPr>
            </w:pPr>
          </w:p>
          <w:p w14:paraId="19628368" w14:textId="77777777" w:rsidR="007343F6" w:rsidRDefault="007343F6" w:rsidP="003D7C70">
            <w:pPr>
              <w:shd w:val="clear" w:color="auto" w:fill="FFFFFF"/>
              <w:rPr>
                <w:rFonts w:ascii="Georgia" w:hAnsi="Georgia"/>
                <w:bCs/>
                <w:iCs/>
              </w:rPr>
            </w:pPr>
          </w:p>
          <w:p w14:paraId="7357F143" w14:textId="77777777" w:rsidR="007343F6" w:rsidRDefault="007343F6" w:rsidP="003D7C70">
            <w:pPr>
              <w:shd w:val="clear" w:color="auto" w:fill="FFFFFF"/>
              <w:rPr>
                <w:rFonts w:ascii="Georgia" w:hAnsi="Georgia"/>
                <w:bCs/>
                <w:iCs/>
              </w:rPr>
            </w:pPr>
          </w:p>
          <w:p w14:paraId="0FCF984B" w14:textId="77777777" w:rsidR="007343F6" w:rsidRDefault="007343F6" w:rsidP="003D7C70">
            <w:pPr>
              <w:shd w:val="clear" w:color="auto" w:fill="FFFFFF"/>
              <w:rPr>
                <w:rFonts w:ascii="Georgia" w:hAnsi="Georgia"/>
                <w:bCs/>
                <w:iCs/>
              </w:rPr>
            </w:pPr>
          </w:p>
          <w:p w14:paraId="2A123FF4" w14:textId="77777777" w:rsidR="007343F6" w:rsidRDefault="007343F6" w:rsidP="003D7C70">
            <w:pPr>
              <w:shd w:val="clear" w:color="auto" w:fill="FFFFFF"/>
              <w:rPr>
                <w:rFonts w:ascii="Georgia" w:hAnsi="Georgia"/>
                <w:bCs/>
                <w:iCs/>
              </w:rPr>
            </w:pPr>
          </w:p>
          <w:p w14:paraId="192C2ACA" w14:textId="77777777" w:rsidR="007343F6" w:rsidRDefault="007343F6" w:rsidP="003D7C70">
            <w:pPr>
              <w:shd w:val="clear" w:color="auto" w:fill="FFFFFF"/>
              <w:rPr>
                <w:rFonts w:ascii="Georgia" w:hAnsi="Georgia"/>
                <w:bCs/>
                <w:iCs/>
              </w:rPr>
            </w:pPr>
          </w:p>
          <w:p w14:paraId="16F80ABA" w14:textId="77777777" w:rsidR="007343F6" w:rsidRDefault="007343F6" w:rsidP="003D7C70">
            <w:pPr>
              <w:shd w:val="clear" w:color="auto" w:fill="FFFFFF"/>
              <w:rPr>
                <w:rFonts w:ascii="Georgia" w:hAnsi="Georgia"/>
                <w:bCs/>
                <w:iCs/>
              </w:rPr>
            </w:pPr>
          </w:p>
          <w:p w14:paraId="44C0308D" w14:textId="77777777" w:rsidR="007343F6" w:rsidRDefault="007343F6" w:rsidP="003D7C70">
            <w:pPr>
              <w:shd w:val="clear" w:color="auto" w:fill="FFFFFF"/>
              <w:rPr>
                <w:rFonts w:ascii="Georgia" w:hAnsi="Georgia"/>
                <w:bCs/>
                <w:iCs/>
              </w:rPr>
            </w:pPr>
          </w:p>
          <w:p w14:paraId="1C1366CB" w14:textId="77777777" w:rsidR="007343F6" w:rsidRDefault="007343F6" w:rsidP="003D7C70">
            <w:pPr>
              <w:shd w:val="clear" w:color="auto" w:fill="FFFFFF"/>
              <w:rPr>
                <w:rFonts w:ascii="Georgia" w:hAnsi="Georgia"/>
                <w:bCs/>
                <w:iCs/>
              </w:rPr>
            </w:pPr>
          </w:p>
          <w:p w14:paraId="3428C3CE" w14:textId="77777777" w:rsidR="003D7C70" w:rsidRPr="00723B12" w:rsidRDefault="003D7C70" w:rsidP="003D7C70">
            <w:pPr>
              <w:shd w:val="clear" w:color="auto" w:fill="FFFFFF"/>
              <w:rPr>
                <w:rFonts w:ascii="Georgia" w:hAnsi="Georgia"/>
                <w:bCs/>
                <w:iCs/>
                <w:lang w:val="id-ID"/>
              </w:rPr>
            </w:pPr>
            <w:r w:rsidRPr="00723B12">
              <w:rPr>
                <w:rFonts w:ascii="Georgia" w:hAnsi="Georgia"/>
                <w:bCs/>
                <w:iCs/>
                <w:lang w:val="id-ID"/>
              </w:rPr>
              <w:t>Kata kunci:</w:t>
            </w:r>
          </w:p>
          <w:p w14:paraId="3608AD62" w14:textId="75F5F793" w:rsidR="007343F6" w:rsidRDefault="007343F6" w:rsidP="003D7C70">
            <w:pPr>
              <w:jc w:val="both"/>
              <w:rPr>
                <w:rFonts w:ascii="Georgia" w:hAnsi="Georgia"/>
                <w:i/>
              </w:rPr>
            </w:pPr>
            <w:r>
              <w:rPr>
                <w:rFonts w:ascii="Georgia" w:hAnsi="Georgia"/>
                <w:i/>
              </w:rPr>
              <w:t>Pendidikan jasmani</w:t>
            </w:r>
          </w:p>
          <w:p w14:paraId="1AEC97B2" w14:textId="72C4F3CC" w:rsidR="003D7C70" w:rsidRPr="007343F6" w:rsidRDefault="007343F6" w:rsidP="003D7C70">
            <w:pPr>
              <w:jc w:val="both"/>
              <w:rPr>
                <w:rFonts w:ascii="Georgia" w:hAnsi="Georgia"/>
                <w:i/>
              </w:rPr>
            </w:pPr>
            <w:r>
              <w:rPr>
                <w:rFonts w:ascii="Georgia" w:hAnsi="Georgia"/>
                <w:i/>
              </w:rPr>
              <w:t>Kooperatif TGT</w:t>
            </w:r>
          </w:p>
          <w:p w14:paraId="01845AB0" w14:textId="72EF3A5E" w:rsidR="003D7C70" w:rsidRPr="007343F6" w:rsidRDefault="007343F6" w:rsidP="003D7C70">
            <w:pPr>
              <w:jc w:val="both"/>
              <w:rPr>
                <w:rFonts w:ascii="Georgia" w:hAnsi="Georgia"/>
                <w:i/>
              </w:rPr>
            </w:pPr>
            <w:r>
              <w:rPr>
                <w:rFonts w:ascii="Georgia" w:hAnsi="Georgia"/>
                <w:i/>
                <w:color w:val="222222"/>
              </w:rPr>
              <w:t>Hasil belajar kognitif</w:t>
            </w:r>
          </w:p>
          <w:p w14:paraId="4D97CF4E" w14:textId="28B7C22D" w:rsidR="003D7C70" w:rsidRPr="007343F6" w:rsidRDefault="007343F6" w:rsidP="003D7C70">
            <w:pPr>
              <w:jc w:val="both"/>
              <w:rPr>
                <w:rFonts w:ascii="Georgia" w:hAnsi="Georgia"/>
                <w:i/>
              </w:rPr>
            </w:pPr>
            <w:r>
              <w:rPr>
                <w:rFonts w:ascii="Georgia" w:hAnsi="Georgia"/>
                <w:i/>
              </w:rPr>
              <w:t>Lari estafet</w:t>
            </w:r>
          </w:p>
          <w:p w14:paraId="567155A9" w14:textId="77777777" w:rsidR="00F052E7" w:rsidRPr="00723B12" w:rsidRDefault="00F052E7" w:rsidP="007343F6">
            <w:pPr>
              <w:jc w:val="both"/>
              <w:rPr>
                <w:rFonts w:ascii="Georgia" w:hAnsi="Georgia"/>
                <w:i/>
                <w:spacing w:val="-3"/>
                <w:position w:val="-1"/>
                <w:lang w:val="id-ID"/>
              </w:rPr>
            </w:pPr>
          </w:p>
        </w:tc>
        <w:tc>
          <w:tcPr>
            <w:tcW w:w="7384" w:type="dxa"/>
            <w:tcBorders>
              <w:top w:val="nil"/>
              <w:left w:val="nil"/>
              <w:bottom w:val="single" w:sz="2" w:space="0" w:color="auto"/>
            </w:tcBorders>
          </w:tcPr>
          <w:p w14:paraId="4F23837A" w14:textId="11A469DE" w:rsidR="00B10F0A" w:rsidRPr="00723B12" w:rsidRDefault="004535E1" w:rsidP="000D63D4">
            <w:pPr>
              <w:tabs>
                <w:tab w:val="left" w:pos="3268"/>
              </w:tabs>
              <w:jc w:val="both"/>
              <w:rPr>
                <w:rFonts w:ascii="Georgia" w:hAnsi="Georgia"/>
                <w:shd w:val="clear" w:color="auto" w:fill="FFFFFF"/>
                <w:lang w:val="id-ID"/>
              </w:rPr>
            </w:pPr>
            <w:r w:rsidRPr="004535E1">
              <w:rPr>
                <w:rFonts w:ascii="Georgia" w:hAnsi="Georgia"/>
                <w:shd w:val="clear" w:color="auto" w:fill="FFFFFF"/>
                <w:lang w:val="id-ID"/>
              </w:rPr>
              <w:t xml:space="preserve">TGT type cooperative learning, as a game-based learning methodology that provides opportunities for students to develop skills in group interactions in small groups and work together with others. Phenomena like this are needed by the world of learning today. The purpose of this study was to determine the effect of the TGT type cooperative learning model on students' cognitive learning outcomes on the topic of relay running. A quantitative study with a quasi-experimental pretest-posttest design. The number of samples involved were 70 students from two different classes, namely experimental and control. The data collection instrument in this study was in the form of 10 essay test questions that had been validated and tested. The results showed that there was an effect of the TGT type cooperative learning model on students' cognitive learning outcomes. The achievement test score for the TGT group was 81.67, while the control group was 75.75. This implies that the TGT group performed superior in cognitive learning outcomes when compared to the control group. Thus, it is concluded that the TGT type cooperative model can be recommended in improving students' cognitive learning outcomes </w:t>
            </w:r>
            <w:r w:rsidR="00874F23">
              <w:rPr>
                <w:rFonts w:ascii="Georgia" w:hAnsi="Georgia"/>
                <w:shd w:val="clear" w:color="auto" w:fill="FFFFFF"/>
                <w:lang w:val="id-ID"/>
              </w:rPr>
              <w:t>on the concept of relay r</w:t>
            </w:r>
            <w:r w:rsidR="00874F23">
              <w:rPr>
                <w:rFonts w:ascii="Georgia" w:hAnsi="Georgia"/>
                <w:shd w:val="clear" w:color="auto" w:fill="FFFFFF"/>
              </w:rPr>
              <w:t>ace</w:t>
            </w:r>
            <w:r w:rsidR="00B10F0A" w:rsidRPr="00723B12">
              <w:rPr>
                <w:rFonts w:ascii="Georgia" w:hAnsi="Georgia"/>
                <w:shd w:val="clear" w:color="auto" w:fill="FFFFFF"/>
                <w:lang w:val="id-ID"/>
              </w:rPr>
              <w:t xml:space="preserve">.  </w:t>
            </w:r>
          </w:p>
          <w:p w14:paraId="1B026714" w14:textId="77777777" w:rsidR="00F052E7" w:rsidRPr="00723B12" w:rsidRDefault="00F052E7" w:rsidP="00F70FF8">
            <w:pPr>
              <w:tabs>
                <w:tab w:val="left" w:pos="3268"/>
              </w:tabs>
              <w:jc w:val="both"/>
              <w:rPr>
                <w:rFonts w:ascii="Georgia" w:eastAsia="Arial" w:hAnsi="Georgia"/>
                <w:spacing w:val="2"/>
                <w:lang w:val="id-ID"/>
              </w:rPr>
            </w:pPr>
          </w:p>
          <w:p w14:paraId="46393A4A" w14:textId="77777777" w:rsidR="00F70FF8" w:rsidRPr="00723B12" w:rsidRDefault="00F70FF8" w:rsidP="00F70FF8">
            <w:pPr>
              <w:tabs>
                <w:tab w:val="left" w:pos="3268"/>
              </w:tabs>
              <w:jc w:val="both"/>
              <w:rPr>
                <w:rFonts w:ascii="Georgia" w:eastAsia="Arial" w:hAnsi="Georgia"/>
                <w:spacing w:val="2"/>
                <w:lang w:val="id-ID"/>
              </w:rPr>
            </w:pPr>
          </w:p>
          <w:p w14:paraId="1C7E026D" w14:textId="3B4003D2" w:rsidR="00F052E7" w:rsidRPr="004120BF" w:rsidRDefault="00DE16E4" w:rsidP="00F70FF8">
            <w:pPr>
              <w:tabs>
                <w:tab w:val="left" w:pos="3268"/>
              </w:tabs>
              <w:autoSpaceDE w:val="0"/>
              <w:autoSpaceDN w:val="0"/>
              <w:adjustRightInd w:val="0"/>
              <w:rPr>
                <w:rFonts w:ascii="Georgia" w:hAnsi="Georgia"/>
                <w:b/>
                <w:bCs/>
              </w:rPr>
            </w:pPr>
            <w:r w:rsidRPr="00723B12">
              <w:rPr>
                <w:rFonts w:ascii="Georgia" w:hAnsi="Georgia"/>
                <w:b/>
                <w:bCs/>
              </w:rPr>
              <w:t>Abstra</w:t>
            </w:r>
            <w:r w:rsidR="004120BF">
              <w:rPr>
                <w:rFonts w:ascii="Georgia" w:hAnsi="Georgia"/>
                <w:b/>
                <w:bCs/>
              </w:rPr>
              <w:t>k</w:t>
            </w:r>
          </w:p>
          <w:p w14:paraId="292FC566" w14:textId="77777777" w:rsidR="00F052E7" w:rsidRPr="00723B12" w:rsidRDefault="00F052E7" w:rsidP="00F70FF8">
            <w:pPr>
              <w:tabs>
                <w:tab w:val="left" w:pos="3268"/>
              </w:tabs>
              <w:autoSpaceDE w:val="0"/>
              <w:autoSpaceDN w:val="0"/>
              <w:adjustRightInd w:val="0"/>
              <w:rPr>
                <w:rFonts w:ascii="Georgia" w:hAnsi="Georgia"/>
                <w:b/>
                <w:bCs/>
                <w:lang w:val="id-ID"/>
              </w:rPr>
            </w:pPr>
          </w:p>
          <w:p w14:paraId="340D9067" w14:textId="613F2B7E" w:rsidR="00F052E7" w:rsidRPr="008C27BC" w:rsidRDefault="00F9134C" w:rsidP="008C27BC">
            <w:pPr>
              <w:tabs>
                <w:tab w:val="left" w:pos="3268"/>
              </w:tabs>
              <w:jc w:val="both"/>
              <w:rPr>
                <w:rStyle w:val="kcmread1114"/>
                <w:rFonts w:ascii="Georgia" w:eastAsiaTheme="minorHAnsi" w:hAnsi="Georgia"/>
                <w:shd w:val="clear" w:color="auto" w:fill="FFFFFF"/>
                <w:lang w:val="id-ID"/>
              </w:rPr>
            </w:pPr>
            <w:r w:rsidRPr="00F9134C">
              <w:rPr>
                <w:rStyle w:val="kcmread1114"/>
                <w:rFonts w:ascii="Georgia" w:eastAsiaTheme="minorHAnsi" w:hAnsi="Georgia"/>
                <w:shd w:val="clear" w:color="auto" w:fill="FFFFFF"/>
                <w:lang w:val="id-ID"/>
              </w:rPr>
              <w:t>Pembelajaran kooperatif</w:t>
            </w:r>
            <w:r>
              <w:rPr>
                <w:rStyle w:val="kcmread1114"/>
                <w:rFonts w:ascii="Georgia" w:eastAsiaTheme="minorHAnsi" w:hAnsi="Georgia"/>
                <w:shd w:val="clear" w:color="auto" w:fill="FFFFFF"/>
              </w:rPr>
              <w:t xml:space="preserve"> tipe TGT</w:t>
            </w:r>
            <w:r w:rsidRPr="00F9134C">
              <w:rPr>
                <w:rStyle w:val="kcmread1114"/>
                <w:rFonts w:ascii="Georgia" w:eastAsiaTheme="minorHAnsi" w:hAnsi="Georgia"/>
                <w:shd w:val="clear" w:color="auto" w:fill="FFFFFF"/>
                <w:lang w:val="id-ID"/>
              </w:rPr>
              <w:t>, sebagai metodologi pembelajaran</w:t>
            </w:r>
            <w:r>
              <w:rPr>
                <w:rStyle w:val="kcmread1114"/>
                <w:rFonts w:ascii="Georgia" w:eastAsiaTheme="minorHAnsi" w:hAnsi="Georgia"/>
                <w:shd w:val="clear" w:color="auto" w:fill="FFFFFF"/>
              </w:rPr>
              <w:t xml:space="preserve"> berbasis game yang </w:t>
            </w:r>
            <w:r w:rsidRPr="00F9134C">
              <w:rPr>
                <w:rStyle w:val="kcmread1114"/>
                <w:rFonts w:ascii="Georgia" w:eastAsiaTheme="minorHAnsi" w:hAnsi="Georgia"/>
                <w:shd w:val="clear" w:color="auto" w:fill="FFFFFF"/>
                <w:lang w:val="id-ID"/>
              </w:rPr>
              <w:t>memberikan kesempatan kepada siswa untuk berkembang</w:t>
            </w:r>
            <w:r>
              <w:rPr>
                <w:rStyle w:val="kcmread1114"/>
                <w:rFonts w:ascii="Georgia" w:eastAsia="Arial" w:hAnsi="Georgia"/>
                <w:spacing w:val="2"/>
              </w:rPr>
              <w:t xml:space="preserve"> </w:t>
            </w:r>
            <w:r>
              <w:rPr>
                <w:rStyle w:val="kcmread1114"/>
                <w:rFonts w:ascii="Georgia" w:eastAsiaTheme="minorHAnsi" w:hAnsi="Georgia"/>
                <w:shd w:val="clear" w:color="auto" w:fill="FFFFFF"/>
              </w:rPr>
              <w:t xml:space="preserve">secara </w:t>
            </w:r>
            <w:r w:rsidRPr="00F9134C">
              <w:rPr>
                <w:rStyle w:val="kcmread1114"/>
                <w:rFonts w:ascii="Georgia" w:eastAsiaTheme="minorHAnsi" w:hAnsi="Georgia"/>
                <w:shd w:val="clear" w:color="auto" w:fill="FFFFFF"/>
                <w:lang w:val="id-ID"/>
              </w:rPr>
              <w:t>keterampilan dalam interaksi kelompok</w:t>
            </w:r>
            <w:r>
              <w:rPr>
                <w:rStyle w:val="kcmread1114"/>
                <w:rFonts w:ascii="Georgia" w:eastAsiaTheme="minorHAnsi" w:hAnsi="Georgia"/>
                <w:shd w:val="clear" w:color="auto" w:fill="FFFFFF"/>
              </w:rPr>
              <w:t xml:space="preserve"> pada kelompok kecil</w:t>
            </w:r>
            <w:r>
              <w:rPr>
                <w:rStyle w:val="kcmread1114"/>
                <w:rFonts w:ascii="Georgia" w:eastAsiaTheme="minorHAnsi" w:hAnsi="Georgia"/>
                <w:shd w:val="clear" w:color="auto" w:fill="FFFFFF"/>
                <w:lang w:val="id-ID"/>
              </w:rPr>
              <w:t xml:space="preserve"> dan </w:t>
            </w:r>
            <w:r w:rsidRPr="00F9134C">
              <w:rPr>
                <w:rStyle w:val="kcmread1114"/>
                <w:rFonts w:ascii="Georgia" w:eastAsiaTheme="minorHAnsi" w:hAnsi="Georgia"/>
                <w:shd w:val="clear" w:color="auto" w:fill="FFFFFF"/>
                <w:lang w:val="id-ID"/>
              </w:rPr>
              <w:t>bekerja</w:t>
            </w:r>
            <w:r>
              <w:rPr>
                <w:rStyle w:val="kcmread1114"/>
                <w:rFonts w:ascii="Georgia" w:eastAsiaTheme="minorHAnsi" w:hAnsi="Georgia"/>
                <w:shd w:val="clear" w:color="auto" w:fill="FFFFFF"/>
              </w:rPr>
              <w:t xml:space="preserve"> sama</w:t>
            </w:r>
            <w:r>
              <w:rPr>
                <w:rStyle w:val="kcmread1114"/>
                <w:rFonts w:ascii="Georgia" w:eastAsiaTheme="minorHAnsi" w:hAnsi="Georgia"/>
                <w:shd w:val="clear" w:color="auto" w:fill="FFFFFF"/>
                <w:lang w:val="id-ID"/>
              </w:rPr>
              <w:t xml:space="preserve"> dengan orang lain</w:t>
            </w:r>
            <w:r>
              <w:rPr>
                <w:rStyle w:val="kcmread1114"/>
                <w:rFonts w:ascii="Georgia" w:eastAsiaTheme="minorHAnsi" w:hAnsi="Georgia"/>
                <w:shd w:val="clear" w:color="auto" w:fill="FFFFFF"/>
              </w:rPr>
              <w:t xml:space="preserve">. Fenomena seperti ini yang dibutuhkan oleh dunia pembelajaran saat ini. </w:t>
            </w:r>
            <w:r w:rsidRPr="00F9134C">
              <w:rPr>
                <w:rStyle w:val="kcmread1114"/>
                <w:rFonts w:ascii="Georgia" w:eastAsiaTheme="minorHAnsi" w:hAnsi="Georgia"/>
                <w:shd w:val="clear" w:color="auto" w:fill="FFFFFF"/>
                <w:lang w:val="id-ID"/>
              </w:rPr>
              <w:t>Tu</w:t>
            </w:r>
            <w:r>
              <w:rPr>
                <w:rStyle w:val="kcmread1114"/>
                <w:rFonts w:ascii="Georgia" w:eastAsiaTheme="minorHAnsi" w:hAnsi="Georgia"/>
                <w:shd w:val="clear" w:color="auto" w:fill="FFFFFF"/>
                <w:lang w:val="id-ID"/>
              </w:rPr>
              <w:t>juan dari penelitian ini adalah</w:t>
            </w:r>
            <w:r>
              <w:rPr>
                <w:rStyle w:val="kcmread1114"/>
                <w:rFonts w:ascii="Georgia" w:eastAsiaTheme="minorHAnsi" w:hAnsi="Georgia"/>
                <w:shd w:val="clear" w:color="auto" w:fill="FFFFFF"/>
              </w:rPr>
              <w:t xml:space="preserve"> </w:t>
            </w:r>
            <w:r w:rsidRPr="00F9134C">
              <w:rPr>
                <w:rStyle w:val="kcmread1114"/>
                <w:rFonts w:ascii="Georgia" w:eastAsiaTheme="minorHAnsi" w:hAnsi="Georgia"/>
                <w:shd w:val="clear" w:color="auto" w:fill="FFFFFF"/>
                <w:lang w:val="id-ID"/>
              </w:rPr>
              <w:t xml:space="preserve">untuk </w:t>
            </w:r>
            <w:r>
              <w:rPr>
                <w:rFonts w:ascii="Georgia" w:eastAsia="Arial" w:hAnsi="Georgia"/>
              </w:rPr>
              <w:t>adalah mengetahui pengaruh model pembelajaran kooperatif tipe TGT terhadap hasil belajar kognitif siswa pada topik lari estafet</w:t>
            </w:r>
            <w:r w:rsidRPr="00F9134C">
              <w:rPr>
                <w:rStyle w:val="kcmread1114"/>
                <w:rFonts w:ascii="Georgia" w:eastAsiaTheme="minorHAnsi" w:hAnsi="Georgia"/>
                <w:shd w:val="clear" w:color="auto" w:fill="FFFFFF"/>
                <w:lang w:val="id-ID"/>
              </w:rPr>
              <w:t xml:space="preserve">. Sebuah </w:t>
            </w:r>
            <w:r>
              <w:rPr>
                <w:rStyle w:val="kcmread1114"/>
                <w:rFonts w:ascii="Georgia" w:eastAsiaTheme="minorHAnsi" w:hAnsi="Georgia"/>
                <w:shd w:val="clear" w:color="auto" w:fill="FFFFFF"/>
              </w:rPr>
              <w:t xml:space="preserve">penelitian kuatitaif dengan desain </w:t>
            </w:r>
            <w:r>
              <w:rPr>
                <w:rStyle w:val="kcmread1114"/>
                <w:rFonts w:ascii="Georgia" w:eastAsiaTheme="minorHAnsi" w:hAnsi="Georgia"/>
                <w:shd w:val="clear" w:color="auto" w:fill="FFFFFF"/>
                <w:lang w:val="id-ID"/>
              </w:rPr>
              <w:t>pretest-posttest</w:t>
            </w:r>
            <w:r>
              <w:rPr>
                <w:rStyle w:val="kcmread1114"/>
                <w:rFonts w:ascii="Georgia" w:eastAsiaTheme="minorHAnsi" w:hAnsi="Georgia"/>
                <w:shd w:val="clear" w:color="auto" w:fill="FFFFFF"/>
              </w:rPr>
              <w:t xml:space="preserve"> dengan </w:t>
            </w:r>
            <w:r w:rsidRPr="00F9134C">
              <w:rPr>
                <w:rStyle w:val="kcmread1114"/>
                <w:rFonts w:ascii="Georgia" w:eastAsiaTheme="minorHAnsi" w:hAnsi="Georgia"/>
                <w:shd w:val="clear" w:color="auto" w:fill="FFFFFF"/>
                <w:lang w:val="id-ID"/>
              </w:rPr>
              <w:t xml:space="preserve">quasi-eksperimental. </w:t>
            </w:r>
            <w:r w:rsidR="008C27BC">
              <w:rPr>
                <w:rStyle w:val="kcmread1114"/>
                <w:rFonts w:ascii="Georgia" w:eastAsiaTheme="minorHAnsi" w:hAnsi="Georgia"/>
                <w:shd w:val="clear" w:color="auto" w:fill="FFFFFF"/>
              </w:rPr>
              <w:t xml:space="preserve">Jumlah sampel yang terlibat sebanyak 70 siswa dari dua kelas berbeda yaitu eksperimen dan kontrol. </w:t>
            </w:r>
            <w:r w:rsidRPr="00F9134C">
              <w:rPr>
                <w:rStyle w:val="kcmread1114"/>
                <w:rFonts w:ascii="Georgia" w:eastAsiaTheme="minorHAnsi" w:hAnsi="Georgia"/>
                <w:shd w:val="clear" w:color="auto" w:fill="FFFFFF"/>
                <w:lang w:val="id-ID"/>
              </w:rPr>
              <w:t>Instrumen pengumpulan</w:t>
            </w:r>
            <w:r>
              <w:rPr>
                <w:rStyle w:val="kcmread1114"/>
                <w:rFonts w:ascii="Georgia" w:eastAsiaTheme="minorHAnsi" w:hAnsi="Georgia"/>
                <w:shd w:val="clear" w:color="auto" w:fill="FFFFFF"/>
              </w:rPr>
              <w:t xml:space="preserve"> data dalam penelitian ini berupa 10 soal tes uraian yang telah divalidasi dan diuji coba</w:t>
            </w:r>
            <w:r w:rsidRPr="00F9134C">
              <w:rPr>
                <w:rStyle w:val="kcmread1114"/>
                <w:rFonts w:ascii="Georgia" w:eastAsiaTheme="minorHAnsi" w:hAnsi="Georgia"/>
                <w:shd w:val="clear" w:color="auto" w:fill="FFFFFF"/>
                <w:lang w:val="id-ID"/>
              </w:rPr>
              <w:t xml:space="preserve">. Hasil penelitian menunjukkan bahwa </w:t>
            </w:r>
            <w:r>
              <w:rPr>
                <w:rStyle w:val="kcmread1114"/>
                <w:rFonts w:ascii="Georgia" w:eastAsiaTheme="minorHAnsi" w:hAnsi="Georgia"/>
                <w:shd w:val="clear" w:color="auto" w:fill="FFFFFF"/>
              </w:rPr>
              <w:t>ada pengaruh model pembelajaran kooperatif tipe TGT terhadap hasil belajar kognitif siswa. S</w:t>
            </w:r>
            <w:r w:rsidRPr="00F9134C">
              <w:rPr>
                <w:rStyle w:val="kcmread1114"/>
                <w:rFonts w:ascii="Georgia" w:eastAsiaTheme="minorHAnsi" w:hAnsi="Georgia"/>
                <w:shd w:val="clear" w:color="auto" w:fill="FFFFFF"/>
                <w:lang w:val="id-ID"/>
              </w:rPr>
              <w:t>kor tes pres</w:t>
            </w:r>
            <w:r w:rsidR="008C27BC">
              <w:rPr>
                <w:rStyle w:val="kcmread1114"/>
                <w:rFonts w:ascii="Georgia" w:eastAsiaTheme="minorHAnsi" w:hAnsi="Georgia"/>
                <w:shd w:val="clear" w:color="auto" w:fill="FFFFFF"/>
                <w:lang w:val="id-ID"/>
              </w:rPr>
              <w:t>tasi untuk</w:t>
            </w:r>
            <w:r w:rsidR="008C27BC">
              <w:rPr>
                <w:rStyle w:val="kcmread1114"/>
                <w:rFonts w:ascii="Georgia" w:eastAsiaTheme="minorHAnsi" w:hAnsi="Georgia"/>
                <w:shd w:val="clear" w:color="auto" w:fill="FFFFFF"/>
              </w:rPr>
              <w:t xml:space="preserve"> </w:t>
            </w:r>
            <w:r>
              <w:rPr>
                <w:rStyle w:val="kcmread1114"/>
                <w:rFonts w:ascii="Georgia" w:eastAsiaTheme="minorHAnsi" w:hAnsi="Georgia"/>
                <w:shd w:val="clear" w:color="auto" w:fill="FFFFFF"/>
                <w:lang w:val="id-ID"/>
              </w:rPr>
              <w:t xml:space="preserve">kelompok TGT adalah </w:t>
            </w:r>
            <w:r>
              <w:rPr>
                <w:rStyle w:val="kcmread1114"/>
                <w:rFonts w:ascii="Georgia" w:eastAsiaTheme="minorHAnsi" w:hAnsi="Georgia"/>
                <w:shd w:val="clear" w:color="auto" w:fill="FFFFFF"/>
              </w:rPr>
              <w:t>81</w:t>
            </w:r>
            <w:proofErr w:type="gramStart"/>
            <w:r>
              <w:rPr>
                <w:rStyle w:val="kcmread1114"/>
                <w:rFonts w:ascii="Georgia" w:eastAsiaTheme="minorHAnsi" w:hAnsi="Georgia"/>
                <w:shd w:val="clear" w:color="auto" w:fill="FFFFFF"/>
              </w:rPr>
              <w:t>,67</w:t>
            </w:r>
            <w:proofErr w:type="gramEnd"/>
            <w:r w:rsidRPr="00F9134C">
              <w:rPr>
                <w:rStyle w:val="kcmread1114"/>
                <w:rFonts w:ascii="Georgia" w:eastAsiaTheme="minorHAnsi" w:hAnsi="Georgia"/>
                <w:shd w:val="clear" w:color="auto" w:fill="FFFFFF"/>
                <w:lang w:val="id-ID"/>
              </w:rPr>
              <w:t>, sedangk</w:t>
            </w:r>
            <w:r>
              <w:rPr>
                <w:rStyle w:val="kcmread1114"/>
                <w:rFonts w:ascii="Georgia" w:eastAsiaTheme="minorHAnsi" w:hAnsi="Georgia"/>
                <w:shd w:val="clear" w:color="auto" w:fill="FFFFFF"/>
                <w:lang w:val="id-ID"/>
              </w:rPr>
              <w:t xml:space="preserve">an kelompok kontrol adalah </w:t>
            </w:r>
            <w:r>
              <w:rPr>
                <w:rStyle w:val="kcmread1114"/>
                <w:rFonts w:ascii="Georgia" w:eastAsiaTheme="minorHAnsi" w:hAnsi="Georgia"/>
                <w:shd w:val="clear" w:color="auto" w:fill="FFFFFF"/>
              </w:rPr>
              <w:t>75,75</w:t>
            </w:r>
            <w:r w:rsidRPr="00F9134C">
              <w:rPr>
                <w:rStyle w:val="kcmread1114"/>
                <w:rFonts w:ascii="Georgia" w:eastAsiaTheme="minorHAnsi" w:hAnsi="Georgia"/>
                <w:shd w:val="clear" w:color="auto" w:fill="FFFFFF"/>
                <w:lang w:val="id-ID"/>
              </w:rPr>
              <w:t>. Ini menyir</w:t>
            </w:r>
            <w:r>
              <w:rPr>
                <w:rStyle w:val="kcmread1114"/>
                <w:rFonts w:ascii="Georgia" w:eastAsiaTheme="minorHAnsi" w:hAnsi="Georgia"/>
                <w:shd w:val="clear" w:color="auto" w:fill="FFFFFF"/>
                <w:lang w:val="id-ID"/>
              </w:rPr>
              <w:t>atkan bahwa kelompok TGT tampil</w:t>
            </w:r>
            <w:r>
              <w:rPr>
                <w:rStyle w:val="kcmread1114"/>
                <w:rFonts w:ascii="Georgia" w:eastAsiaTheme="minorHAnsi" w:hAnsi="Georgia"/>
                <w:shd w:val="clear" w:color="auto" w:fill="FFFFFF"/>
              </w:rPr>
              <w:t xml:space="preserve"> </w:t>
            </w:r>
            <w:r w:rsidRPr="00F9134C">
              <w:rPr>
                <w:rStyle w:val="kcmread1114"/>
                <w:rFonts w:ascii="Georgia" w:eastAsiaTheme="minorHAnsi" w:hAnsi="Georgia"/>
                <w:shd w:val="clear" w:color="auto" w:fill="FFFFFF"/>
                <w:lang w:val="id-ID"/>
              </w:rPr>
              <w:t xml:space="preserve">lebih </w:t>
            </w:r>
            <w:r w:rsidR="008C27BC">
              <w:rPr>
                <w:rStyle w:val="kcmread1114"/>
                <w:rFonts w:ascii="Georgia" w:eastAsiaTheme="minorHAnsi" w:hAnsi="Georgia"/>
                <w:shd w:val="clear" w:color="auto" w:fill="FFFFFF"/>
              </w:rPr>
              <w:t>uggul</w:t>
            </w:r>
            <w:r w:rsidRPr="00F9134C">
              <w:rPr>
                <w:rStyle w:val="kcmread1114"/>
                <w:rFonts w:ascii="Georgia" w:eastAsiaTheme="minorHAnsi" w:hAnsi="Georgia"/>
                <w:shd w:val="clear" w:color="auto" w:fill="FFFFFF"/>
                <w:lang w:val="id-ID"/>
              </w:rPr>
              <w:t xml:space="preserve"> dalam </w:t>
            </w:r>
            <w:r w:rsidR="008C27BC">
              <w:rPr>
                <w:rStyle w:val="kcmread1114"/>
                <w:rFonts w:ascii="Georgia" w:eastAsiaTheme="minorHAnsi" w:hAnsi="Georgia"/>
                <w:shd w:val="clear" w:color="auto" w:fill="FFFFFF"/>
              </w:rPr>
              <w:t xml:space="preserve">hasil belajar kognitif bila </w:t>
            </w:r>
            <w:r w:rsidRPr="00F9134C">
              <w:rPr>
                <w:rStyle w:val="kcmread1114"/>
                <w:rFonts w:ascii="Georgia" w:eastAsiaTheme="minorHAnsi" w:hAnsi="Georgia"/>
                <w:shd w:val="clear" w:color="auto" w:fill="FFFFFF"/>
                <w:lang w:val="id-ID"/>
              </w:rPr>
              <w:t xml:space="preserve">dibandingkan dengan kelompok kontrol. </w:t>
            </w:r>
            <w:r w:rsidR="008C27BC">
              <w:rPr>
                <w:rStyle w:val="kcmread1114"/>
                <w:rFonts w:ascii="Georgia" w:eastAsiaTheme="minorHAnsi" w:hAnsi="Georgia"/>
                <w:shd w:val="clear" w:color="auto" w:fill="FFFFFF"/>
              </w:rPr>
              <w:t xml:space="preserve">Dengan demikian disimpulkan bahwa model kooperatif tipe TGT dapat direkomendasikan dalam </w:t>
            </w:r>
            <w:r w:rsidR="008C27BC">
              <w:rPr>
                <w:rFonts w:ascii="Georgia" w:hAnsi="Georgia"/>
              </w:rPr>
              <w:t>meningkat</w:t>
            </w:r>
            <w:r w:rsidR="008C27BC">
              <w:rPr>
                <w:rFonts w:ascii="Georgia" w:hAnsi="Georgia"/>
              </w:rPr>
              <w:t>kan</w:t>
            </w:r>
            <w:r w:rsidR="008C27BC">
              <w:rPr>
                <w:rFonts w:ascii="Georgia" w:hAnsi="Georgia"/>
              </w:rPr>
              <w:t xml:space="preserve"> hasil belajar kognitif siswa pada konsep lari estafet</w:t>
            </w:r>
            <w:r w:rsidR="008C27BC">
              <w:rPr>
                <w:rFonts w:ascii="Georgia" w:hAnsi="Georgia"/>
              </w:rPr>
              <w:t>.</w:t>
            </w:r>
          </w:p>
        </w:tc>
      </w:tr>
    </w:tbl>
    <w:p w14:paraId="79294AA5" w14:textId="77777777" w:rsidR="00F052E7" w:rsidRPr="00723B12" w:rsidRDefault="00F052E7" w:rsidP="00F70FF8">
      <w:pPr>
        <w:spacing w:after="0" w:line="240" w:lineRule="auto"/>
        <w:rPr>
          <w:rFonts w:ascii="Georgia" w:hAnsi="Georgia"/>
          <w:sz w:val="20"/>
        </w:rPr>
      </w:pPr>
    </w:p>
    <w:p w14:paraId="40219BB2" w14:textId="57104430" w:rsidR="00F70FF8" w:rsidRPr="00723B12"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PENDAHULUAN</w:t>
      </w:r>
      <w:r w:rsidR="006F182D">
        <w:rPr>
          <w:rFonts w:ascii="Georgia" w:eastAsia="Arial" w:hAnsi="Georgia" w:cs="Times New Roman"/>
          <w:b/>
          <w:lang w:val="en-US"/>
        </w:rPr>
        <w:t xml:space="preserve"> </w:t>
      </w:r>
    </w:p>
    <w:p w14:paraId="0927B7F0" w14:textId="6BA397FD" w:rsidR="00FF6488" w:rsidRDefault="00473859" w:rsidP="005A1346">
      <w:pPr>
        <w:spacing w:after="0" w:line="240" w:lineRule="auto"/>
        <w:ind w:firstLine="567"/>
        <w:jc w:val="both"/>
        <w:rPr>
          <w:rFonts w:ascii="Georgia" w:hAnsi="Georgia" w:cs="Times New Roman"/>
          <w:color w:val="222222"/>
          <w:lang w:val="en-US"/>
        </w:rPr>
      </w:pPr>
      <w:r>
        <w:rPr>
          <w:rFonts w:ascii="Georgia" w:hAnsi="Georgia" w:cs="Times New Roman"/>
          <w:color w:val="222222"/>
          <w:lang w:val="en-US"/>
        </w:rPr>
        <w:t xml:space="preserve">Pendiddikan jasmani </w:t>
      </w:r>
      <w:r w:rsidR="00E759F5" w:rsidRPr="00E759F5">
        <w:rPr>
          <w:rFonts w:ascii="Georgia" w:hAnsi="Georgia" w:cs="Times New Roman"/>
          <w:color w:val="222222"/>
          <w:lang w:val="en-US"/>
        </w:rPr>
        <w:t xml:space="preserve">adalah </w:t>
      </w:r>
      <w:r w:rsidR="000820F5">
        <w:rPr>
          <w:rFonts w:ascii="Georgia" w:hAnsi="Georgia" w:cs="Times New Roman"/>
          <w:color w:val="222222"/>
          <w:lang w:val="en-US"/>
        </w:rPr>
        <w:t xml:space="preserve">kegiatan yang </w:t>
      </w:r>
      <w:r w:rsidR="00E759F5" w:rsidRPr="00E759F5">
        <w:rPr>
          <w:rFonts w:ascii="Georgia" w:hAnsi="Georgia" w:cs="Times New Roman"/>
          <w:color w:val="222222"/>
          <w:lang w:val="en-US"/>
        </w:rPr>
        <w:t>berkelanjuta</w:t>
      </w:r>
      <w:r w:rsidR="000820F5">
        <w:rPr>
          <w:rFonts w:ascii="Georgia" w:hAnsi="Georgia" w:cs="Times New Roman"/>
          <w:color w:val="222222"/>
          <w:lang w:val="en-US"/>
        </w:rPr>
        <w:t xml:space="preserve">n dan digagas berdasarkan </w:t>
      </w:r>
      <w:r w:rsidR="00E759F5" w:rsidRPr="00E759F5">
        <w:rPr>
          <w:rFonts w:ascii="Georgia" w:hAnsi="Georgia" w:cs="Times New Roman"/>
          <w:color w:val="222222"/>
          <w:lang w:val="en-US"/>
        </w:rPr>
        <w:t>perkembangan pendidikan</w:t>
      </w:r>
      <w:r w:rsidR="000820F5">
        <w:rPr>
          <w:rFonts w:ascii="Georgia" w:hAnsi="Georgia" w:cs="Times New Roman"/>
          <w:color w:val="222222"/>
          <w:lang w:val="en-US"/>
        </w:rPr>
        <w:t xml:space="preserve"> saat ini</w:t>
      </w:r>
      <w:r w:rsidR="00BD21A9">
        <w:rPr>
          <w:rFonts w:ascii="Georgia" w:hAnsi="Georgia" w:cs="Times New Roman"/>
          <w:color w:val="222222"/>
          <w:lang w:val="en-US"/>
        </w:rPr>
        <w:t xml:space="preserve"> </w:t>
      </w:r>
      <w:r w:rsidR="00BD21A9">
        <w:rPr>
          <w:rFonts w:ascii="Georgia" w:hAnsi="Georgia" w:cs="Times New Roman"/>
          <w:color w:val="222222"/>
          <w:lang w:val="en-US"/>
        </w:rPr>
        <w:fldChar w:fldCharType="begin" w:fldLock="1"/>
      </w:r>
      <w:r w:rsidR="00CC46AA">
        <w:rPr>
          <w:rFonts w:ascii="Georgia" w:hAnsi="Georgia" w:cs="Times New Roman"/>
          <w:color w:val="222222"/>
          <w:lang w:val="en-US"/>
        </w:rPr>
        <w:instrText>ADDIN CSL_CITATION {"citationItems":[{"id":"ITEM-1","itemData":{"DOI":"10.3390/su12156147","ISSN":"20711050","abstract":"Physical education (PE) helps form lifelong learning and exercise habits; therefore, PE courses should be designed to enhance student motivation. Team-game tournaments (TGTs) enable learning in heterogeneous groups and involve positive interdependence, individual accountability, social skills, face-to-face interaction, group processing, and equal opportunities. Therefore, this quasi-experimental pre-test-post-test study investigated the effects of the TGT on learning motivation and motor skills. In this study, 108 students who enrolled in an advanced basketball course from two classes in a Taiwanese university were recruited as participants. Experimental teaching was implemented based on the class patterns, during which the students were divided into experimental and control groups. The control group, consisting of 56 students (46 male and 10 female), received conventional PE. In the TGT experimental group, constituting 52 students (40 male and 12 female), the TGT learning program was implemented. After a 12-week basketball teaching session, the TGT teaching strategy significantly improved student motivation but not motor skill acquisition. Competency level, however, did not significantly affect motivation but was significantly related to motor skill acquisition. Interaction effects between teaching strategy and competency level were non-significant. Despite TGTs enhancing learning motivation, PE teachers are still responsible for teaching rules, knowledge, and skills, engaging team members, and ensuring sufficient time for skill practice.","author":[{"dropping-particle":"","family":"Luo","given":"Yu Jy","non-dropping-particle":"","parse-names":false,"suffix":""},{"dropping-particle":"","family":"Lin","given":"Mei Ling","non-dropping-particle":"","parse-names":false,"suffix":""},{"dropping-particle":"","family":"Hsu","given":"Chien Huei","non-dropping-particle":"","parse-names":false,"suffix":""},{"dropping-particle":"","family":"Liao","given":"Chun Chin","non-dropping-particle":"","parse-names":false,"suffix":""},{"dropping-particle":"","family":"Kao","given":"Chun Chieh","non-dropping-particle":"","parse-names":false,"suffix":""}],"container-title":"Sustainability (Switzerland)","id":"ITEM-1","issue":"15","issued":{"date-parts":[["2020"]]},"page":"1-12","title":"The effects of team-game-tournaments application towards learning motivation and motor skills in college physical education","type":"article-journal","volume":"12"},"uris":["http://www.mendeley.com/documents/?uuid=ecb54e36-9219-4a4a-8703-789c05be8d9e"]}],"mendeley":{"formattedCitation":"(Luo et al., 2020)","plainTextFormattedCitation":"(Luo et al., 2020)","previouslyFormattedCitation":"(Luo et al., 2020)"},"properties":{"noteIndex":0},"schema":"https://github.com/citation-style-language/schema/raw/master/csl-citation.json"}</w:instrText>
      </w:r>
      <w:r w:rsidR="00BD21A9">
        <w:rPr>
          <w:rFonts w:ascii="Georgia" w:hAnsi="Georgia" w:cs="Times New Roman"/>
          <w:color w:val="222222"/>
          <w:lang w:val="en-US"/>
        </w:rPr>
        <w:fldChar w:fldCharType="separate"/>
      </w:r>
      <w:r w:rsidR="00BD21A9" w:rsidRPr="00BD21A9">
        <w:rPr>
          <w:rFonts w:ascii="Georgia" w:hAnsi="Georgia" w:cs="Times New Roman"/>
          <w:noProof/>
          <w:color w:val="222222"/>
          <w:lang w:val="en-US"/>
        </w:rPr>
        <w:t>(Luo et al., 2020)</w:t>
      </w:r>
      <w:r w:rsidR="00BD21A9">
        <w:rPr>
          <w:rFonts w:ascii="Georgia" w:hAnsi="Georgia" w:cs="Times New Roman"/>
          <w:color w:val="222222"/>
          <w:lang w:val="en-US"/>
        </w:rPr>
        <w:fldChar w:fldCharType="end"/>
      </w:r>
      <w:r w:rsidR="00DD4682">
        <w:rPr>
          <w:rFonts w:ascii="Georgia" w:hAnsi="Georgia" w:cs="Times New Roman"/>
          <w:color w:val="222222"/>
          <w:lang w:val="en-US"/>
        </w:rPr>
        <w:t xml:space="preserve">. </w:t>
      </w:r>
      <w:proofErr w:type="gramStart"/>
      <w:r w:rsidR="00DD4682">
        <w:rPr>
          <w:rFonts w:ascii="Georgia" w:hAnsi="Georgia" w:cs="Times New Roman"/>
          <w:color w:val="222222"/>
          <w:lang w:val="en-US"/>
        </w:rPr>
        <w:t xml:space="preserve">Tujuan utama </w:t>
      </w:r>
      <w:r w:rsidR="00991E90">
        <w:rPr>
          <w:rFonts w:ascii="Georgia" w:hAnsi="Georgia" w:cs="Times New Roman"/>
          <w:color w:val="222222"/>
          <w:lang w:val="en-US"/>
        </w:rPr>
        <w:t>pendidikan jasmani</w:t>
      </w:r>
      <w:r w:rsidR="00DD4682">
        <w:rPr>
          <w:rFonts w:ascii="Georgia" w:hAnsi="Georgia" w:cs="Times New Roman"/>
          <w:color w:val="222222"/>
          <w:lang w:val="en-US"/>
        </w:rPr>
        <w:t xml:space="preserve"> </w:t>
      </w:r>
      <w:r w:rsidR="000820F5">
        <w:rPr>
          <w:rFonts w:ascii="Georgia" w:hAnsi="Georgia" w:cs="Times New Roman"/>
          <w:color w:val="222222"/>
          <w:lang w:val="en-US"/>
        </w:rPr>
        <w:t>tidak hanya menawarkan fisik</w:t>
      </w:r>
      <w:r w:rsidR="00991E90">
        <w:rPr>
          <w:rFonts w:ascii="Georgia" w:hAnsi="Georgia" w:cs="Times New Roman"/>
          <w:color w:val="222222"/>
          <w:lang w:val="en-US"/>
        </w:rPr>
        <w:t>,</w:t>
      </w:r>
      <w:r w:rsidR="000820F5">
        <w:rPr>
          <w:rFonts w:ascii="Georgia" w:hAnsi="Georgia" w:cs="Times New Roman"/>
          <w:color w:val="222222"/>
          <w:lang w:val="en-US"/>
        </w:rPr>
        <w:t xml:space="preserve"> </w:t>
      </w:r>
      <w:r w:rsidR="00DD4682">
        <w:rPr>
          <w:rFonts w:ascii="Georgia" w:hAnsi="Georgia" w:cs="Times New Roman"/>
          <w:color w:val="222222"/>
          <w:lang w:val="en-US"/>
        </w:rPr>
        <w:t>tapi bagaimana pembelajaran</w:t>
      </w:r>
      <w:r w:rsidR="00E759F5" w:rsidRPr="00E759F5">
        <w:rPr>
          <w:rFonts w:ascii="Georgia" w:hAnsi="Georgia" w:cs="Times New Roman"/>
          <w:color w:val="222222"/>
          <w:lang w:val="en-US"/>
        </w:rPr>
        <w:t xml:space="preserve"> yang memb</w:t>
      </w:r>
      <w:r w:rsidR="00DD4682">
        <w:rPr>
          <w:rFonts w:ascii="Georgia" w:hAnsi="Georgia" w:cs="Times New Roman"/>
          <w:color w:val="222222"/>
          <w:lang w:val="en-US"/>
        </w:rPr>
        <w:t>uat siswa lebih kuat dan sehat.</w:t>
      </w:r>
      <w:proofErr w:type="gramEnd"/>
      <w:r w:rsidR="00DD4682">
        <w:rPr>
          <w:rFonts w:ascii="Georgia" w:hAnsi="Georgia" w:cs="Times New Roman"/>
          <w:color w:val="222222"/>
          <w:lang w:val="en-US"/>
        </w:rPr>
        <w:t xml:space="preserve"> Selain itu </w:t>
      </w:r>
      <w:r w:rsidR="00E759F5" w:rsidRPr="00E759F5">
        <w:rPr>
          <w:rFonts w:ascii="Georgia" w:hAnsi="Georgia" w:cs="Times New Roman"/>
          <w:color w:val="222222"/>
          <w:lang w:val="en-US"/>
        </w:rPr>
        <w:t xml:space="preserve">membantu siswa untuk memperoleh </w:t>
      </w:r>
      <w:r w:rsidR="00DA1B71">
        <w:rPr>
          <w:rFonts w:ascii="Georgia" w:hAnsi="Georgia" w:cs="Times New Roman"/>
          <w:color w:val="222222"/>
          <w:lang w:val="en-US"/>
        </w:rPr>
        <w:t>pengetahuan, pengalaman</w:t>
      </w:r>
      <w:r w:rsidR="00E759F5" w:rsidRPr="00E759F5">
        <w:rPr>
          <w:rFonts w:ascii="Georgia" w:hAnsi="Georgia" w:cs="Times New Roman"/>
          <w:color w:val="222222"/>
          <w:lang w:val="en-US"/>
        </w:rPr>
        <w:t xml:space="preserve">, interaksi </w:t>
      </w:r>
      <w:r w:rsidR="00DA1B71">
        <w:rPr>
          <w:rFonts w:ascii="Georgia" w:hAnsi="Georgia" w:cs="Times New Roman"/>
          <w:color w:val="222222"/>
          <w:lang w:val="en-US"/>
        </w:rPr>
        <w:t>emosional</w:t>
      </w:r>
      <w:r w:rsidR="00E759F5" w:rsidRPr="00E759F5">
        <w:rPr>
          <w:rFonts w:ascii="Georgia" w:hAnsi="Georgia" w:cs="Times New Roman"/>
          <w:color w:val="222222"/>
          <w:lang w:val="en-US"/>
        </w:rPr>
        <w:t xml:space="preserve">, dan </w:t>
      </w:r>
      <w:r w:rsidR="00DA1B71">
        <w:rPr>
          <w:rFonts w:ascii="Georgia" w:hAnsi="Georgia" w:cs="Times New Roman"/>
          <w:color w:val="222222"/>
          <w:lang w:val="en-US"/>
        </w:rPr>
        <w:t>kolaborasi</w:t>
      </w:r>
      <w:r w:rsidR="00E759F5" w:rsidRPr="00E759F5">
        <w:rPr>
          <w:rFonts w:ascii="Georgia" w:hAnsi="Georgia" w:cs="Times New Roman"/>
          <w:color w:val="222222"/>
          <w:lang w:val="en-US"/>
        </w:rPr>
        <w:t xml:space="preserve"> tim </w:t>
      </w:r>
      <w:r w:rsidR="00DA1B71">
        <w:rPr>
          <w:rFonts w:ascii="Georgia" w:hAnsi="Georgia" w:cs="Times New Roman"/>
          <w:color w:val="222222"/>
          <w:lang w:val="en-US"/>
        </w:rPr>
        <w:t xml:space="preserve">yang </w:t>
      </w:r>
      <w:r w:rsidR="00E759F5" w:rsidRPr="00E759F5">
        <w:rPr>
          <w:rFonts w:ascii="Georgia" w:hAnsi="Georgia" w:cs="Times New Roman"/>
          <w:color w:val="222222"/>
          <w:lang w:val="en-US"/>
        </w:rPr>
        <w:t xml:space="preserve">memiliki dampak </w:t>
      </w:r>
      <w:r w:rsidR="00DB7C47">
        <w:rPr>
          <w:rFonts w:ascii="Georgia" w:hAnsi="Georgia" w:cs="Times New Roman"/>
          <w:color w:val="222222"/>
          <w:lang w:val="en-US"/>
        </w:rPr>
        <w:t>yang besar</w:t>
      </w:r>
      <w:r w:rsidR="00D94E64">
        <w:rPr>
          <w:rFonts w:ascii="Georgia" w:hAnsi="Georgia" w:cs="Times New Roman"/>
          <w:color w:val="222222"/>
          <w:lang w:val="en-US"/>
        </w:rPr>
        <w:t xml:space="preserve"> untuk </w:t>
      </w:r>
      <w:r w:rsidR="00DA1B71">
        <w:rPr>
          <w:rFonts w:ascii="Georgia" w:hAnsi="Georgia" w:cs="Times New Roman"/>
          <w:color w:val="222222"/>
          <w:lang w:val="en-US"/>
        </w:rPr>
        <w:t>dapat</w:t>
      </w:r>
      <w:r w:rsidR="000820F5">
        <w:rPr>
          <w:rFonts w:ascii="Georgia" w:hAnsi="Georgia" w:cs="Times New Roman"/>
          <w:color w:val="222222"/>
          <w:lang w:val="en-US"/>
        </w:rPr>
        <w:t xml:space="preserve"> </w:t>
      </w:r>
      <w:r w:rsidR="00DA1B71">
        <w:rPr>
          <w:rFonts w:ascii="Georgia" w:hAnsi="Georgia" w:cs="Times New Roman"/>
          <w:color w:val="222222"/>
          <w:lang w:val="en-US"/>
        </w:rPr>
        <w:t>hidup di masa yang akan datang</w:t>
      </w:r>
      <w:r w:rsidR="00D94E64">
        <w:rPr>
          <w:rFonts w:ascii="Georgia" w:hAnsi="Georgia" w:cs="Times New Roman"/>
          <w:color w:val="222222"/>
          <w:lang w:val="en-US"/>
        </w:rPr>
        <w:t>,</w:t>
      </w:r>
      <w:r w:rsidR="00DA1B71">
        <w:rPr>
          <w:rFonts w:ascii="Georgia" w:hAnsi="Georgia" w:cs="Times New Roman"/>
          <w:color w:val="222222"/>
          <w:lang w:val="en-US"/>
        </w:rPr>
        <w:t xml:space="preserve"> </w:t>
      </w:r>
      <w:r w:rsidR="00D825D0">
        <w:rPr>
          <w:rFonts w:ascii="Georgia" w:hAnsi="Georgia" w:cs="Times New Roman"/>
          <w:color w:val="222222"/>
          <w:lang w:val="en-US"/>
        </w:rPr>
        <w:t>ketika mereka keluar dari bangku pendidikan</w:t>
      </w:r>
      <w:r w:rsidR="00E3122F">
        <w:rPr>
          <w:rFonts w:ascii="Georgia" w:hAnsi="Georgia" w:cs="Times New Roman"/>
          <w:color w:val="222222"/>
          <w:lang w:val="en-US"/>
        </w:rPr>
        <w:t xml:space="preserve"> </w:t>
      </w:r>
      <w:r w:rsidR="00D94E64">
        <w:rPr>
          <w:rFonts w:ascii="Georgia" w:hAnsi="Georgia" w:cs="Times New Roman"/>
          <w:color w:val="222222"/>
          <w:lang w:val="en-US"/>
        </w:rPr>
        <w:fldChar w:fldCharType="begin" w:fldLock="1"/>
      </w:r>
      <w:r w:rsidR="00FE3E7C">
        <w:rPr>
          <w:rFonts w:ascii="Georgia" w:hAnsi="Georgia" w:cs="Times New Roman"/>
          <w:color w:val="222222"/>
          <w:lang w:val="en-US"/>
        </w:rPr>
        <w:instrText>ADDIN CSL_CITATION {"citationItems":[{"id":"ITEM-1","itemData":{"DOI":"10.1515/hukin-2017-0144","ISSN":"18997562","abstract":"It seems important to consider students' attitudes towards physical education (PE), and the way they learn sports. The present study examines students' perceptions of motivation and achievement in PE after experiencing three consecutive sport units. Two hundred and thirty seven students from the 1st, 2nd, 3rd, and 4th grade in a high school in Burgos (Spain) and two teachers agreed to participate. They were divided into two groups in order to compare two instructional approaches. The experimental group (A), 128 students, experienced Teaching Games for Understanding (TGfU), while the control group (B), 109 students, experienced a technical-traditional approach. Each group was taught by a different teacher. The study followed a mixed-method research design with quantitative (questionnaire) and qualitative (interview) data. Results revealed that group A showed greater motivation and achievement in PE than group B. Significant differences were found in achievement. Participants with better academic results in group A were more positive in sport participation. Meanwhile, students who practiced more extracurricular sports in group B were more actively involved in sport. Teachers disagreed greatly on the way sport should be taught in PE.","author":[{"dropping-particle":"","family":"Hortigüela Alcalá","given":"David","non-dropping-particle":"","parse-names":false,"suffix":""},{"dropping-particle":"","family":"Hernando Garijo","given":"Alejandra","non-dropping-particle":"","parse-names":false,"suffix":""}],"container-title":"Journal of Human Kinetics","id":"ITEM-1","issue":"1","issued":{"date-parts":[["2017"]]},"page":"17-27","title":"Teaching Games for Understanding: A Comprehensive Approach to Promote Student's Motivation in Physical Education","type":"article-journal","volume":"59"},"uris":["http://www.mendeley.com/documents/?uuid=03f7d433-6dc8-42c7-851d-4d962742df20"]}],"mendeley":{"formattedCitation":"(Hortigüela Alcalá &amp; Hernando Garijo, 2017)","manualFormatting":"(Hortigüela Alcalá &amp; Hernando Garijo, 2017","plainTextFormattedCitation":"(Hortigüela Alcalá &amp; Hernando Garijo, 2017)","previouslyFormattedCitation":"(Hortigüela Alcalá &amp; Hernando Garijo, 2017)"},"properties":{"noteIndex":0},"schema":"https://github.com/citation-style-language/schema/raw/master/csl-citation.json"}</w:instrText>
      </w:r>
      <w:r w:rsidR="00D94E64">
        <w:rPr>
          <w:rFonts w:ascii="Georgia" w:hAnsi="Georgia" w:cs="Times New Roman"/>
          <w:color w:val="222222"/>
          <w:lang w:val="en-US"/>
        </w:rPr>
        <w:fldChar w:fldCharType="separate"/>
      </w:r>
      <w:r w:rsidR="00D94E64" w:rsidRPr="00D94E64">
        <w:rPr>
          <w:rFonts w:ascii="Georgia" w:hAnsi="Georgia" w:cs="Times New Roman"/>
          <w:noProof/>
          <w:color w:val="222222"/>
          <w:lang w:val="en-US"/>
        </w:rPr>
        <w:t>(Hortigüela Alcalá &amp; Hernando Garijo, 2017</w:t>
      </w:r>
      <w:r w:rsidR="00D94E64">
        <w:rPr>
          <w:rFonts w:ascii="Georgia" w:hAnsi="Georgia" w:cs="Times New Roman"/>
          <w:color w:val="222222"/>
          <w:lang w:val="en-US"/>
        </w:rPr>
        <w:fldChar w:fldCharType="end"/>
      </w:r>
      <w:r w:rsidR="00FE3E7C">
        <w:rPr>
          <w:rFonts w:ascii="Georgia" w:hAnsi="Georgia" w:cs="Times New Roman"/>
          <w:color w:val="222222"/>
          <w:lang w:val="en-US"/>
        </w:rPr>
        <w:t xml:space="preserve">; </w:t>
      </w:r>
      <w:r w:rsidR="00FE3E7C">
        <w:rPr>
          <w:rFonts w:ascii="Georgia" w:hAnsi="Georgia" w:cs="Times New Roman"/>
          <w:color w:val="222222"/>
          <w:lang w:val="en-US"/>
        </w:rPr>
        <w:fldChar w:fldCharType="begin" w:fldLock="1"/>
      </w:r>
      <w:r w:rsidR="00BD21A9">
        <w:rPr>
          <w:rFonts w:ascii="Georgia" w:hAnsi="Georgia" w:cs="Times New Roman"/>
          <w:color w:val="222222"/>
          <w:lang w:val="en-US"/>
        </w:rPr>
        <w:instrText>ADDIN CSL_CITATION {"citationItems":[{"id":"ITEM-1","itemData":{"DOI":"10.1080/02701367.2019.1688754","ISSN":"21683824","PMID":"31976822","abstract":"Purpose: School physical activity (SPA) is a significant component of daily PA. We investigated differences in PA between boys and girls in two differing education systems—Poland and the Czech Republic—which have four and two physical education lessons (PELs) per week, respectively. Method: This project was conducted from 2012–2016 at 17 Polish and 23 Czech secondary schools (N = 921; mean age = 16.2 ± 0.7 years). ActiTrainer accelerometers were used to monitor participants’ PA and heart rate during school days. Weekly PA was measured using pedometers. Subjective levels of weekly PA were self-reported on the International Physical Activity Questionnaire–long form. Results: The Polish education system enabled adolescents to meet the recommendations for moderate-to-vigorous PA more likely than did the Czech system. SPA also represented a higher portion of daily PA in the Polish (vs. Czech system); however, the differences in total daily step count between Polish and Czech adolescents were non-significant. SPA accounted for 30–37% of the daily PA (as measured by step count) of Polish girls (23–30% of Czech girls) and 28–39% of Polish boys (25–37% of Czech boys). Conclusions: Participation in PELs was associated with a higher rate of meeting SPA recommendations in both countries. Compared with the Czech Republic, more PELs in the Polish education system was associated with increased daily vigorous PA and a greater portion of SPA in daily PA. Differences in overall daily and weekly moderate-to-vigorous PA between Polish and Czech adolescents were non-significant.","author":[{"dropping-particle":"","family":"Groffik","given":"Dorota","non-dropping-particle":"","parse-names":false,"suffix":""},{"dropping-particle":"","family":"Mitáš","given":"Josef","non-dropping-particle":"","parse-names":false,"suffix":""},{"dropping-particle":"","family":"Jakubec","given":"Lukáš","non-dropping-particle":"","parse-names":false,"suffix":""},{"dropping-particle":"","family":"Svozil","given":"Zbyněk","non-dropping-particle":"","parse-names":false,"suffix":""},{"dropping-particle":"","family":"Frömel","given":"Karel","non-dropping-particle":"","parse-names":false,"suffix":""}],"container-title":"Research Quarterly for Exercise and Sport","id":"ITEM-1","issue":"4","issued":{"date-parts":[["2020"]]},"page":"551-561","publisher":"Routledge","title":"Adolescents’ Physical Activity in Education Systems Varying in the Number of Weekly Physical Education Lessons","type":"article-journal","volume":"91"},"uris":["http://www.mendeley.com/documents/?uuid=59455e86-74cc-4aae-9b6a-449cdaae927c"]}],"mendeley":{"formattedCitation":"(Groffik et al., 2020)","manualFormatting":"Groffik et al., 2020)","plainTextFormattedCitation":"(Groffik et al., 2020)","previouslyFormattedCitation":"(Groffik et al., 2020)"},"properties":{"noteIndex":0},"schema":"https://github.com/citation-style-language/schema/raw/master/csl-citation.json"}</w:instrText>
      </w:r>
      <w:r w:rsidR="00FE3E7C">
        <w:rPr>
          <w:rFonts w:ascii="Georgia" w:hAnsi="Georgia" w:cs="Times New Roman"/>
          <w:color w:val="222222"/>
          <w:lang w:val="en-US"/>
        </w:rPr>
        <w:fldChar w:fldCharType="separate"/>
      </w:r>
      <w:r w:rsidR="00FE3E7C" w:rsidRPr="00FE3E7C">
        <w:rPr>
          <w:rFonts w:ascii="Georgia" w:hAnsi="Georgia" w:cs="Times New Roman"/>
          <w:noProof/>
          <w:color w:val="222222"/>
          <w:lang w:val="en-US"/>
        </w:rPr>
        <w:t>Groffik et al., 2020)</w:t>
      </w:r>
      <w:r w:rsidR="00FE3E7C">
        <w:rPr>
          <w:rFonts w:ascii="Georgia" w:hAnsi="Georgia" w:cs="Times New Roman"/>
          <w:color w:val="222222"/>
          <w:lang w:val="en-US"/>
        </w:rPr>
        <w:fldChar w:fldCharType="end"/>
      </w:r>
      <w:r w:rsidR="00D825D0">
        <w:rPr>
          <w:rFonts w:ascii="Georgia" w:hAnsi="Georgia" w:cs="Times New Roman"/>
          <w:color w:val="222222"/>
          <w:lang w:val="en-US"/>
        </w:rPr>
        <w:t>.</w:t>
      </w:r>
      <w:r w:rsidR="00A06BAD">
        <w:rPr>
          <w:rFonts w:ascii="Georgia" w:hAnsi="Georgia" w:cs="Times New Roman"/>
          <w:color w:val="222222"/>
          <w:lang w:val="en-US"/>
        </w:rPr>
        <w:t xml:space="preserve"> </w:t>
      </w:r>
      <w:proofErr w:type="gramStart"/>
      <w:r w:rsidR="00A06BAD">
        <w:rPr>
          <w:rFonts w:ascii="Georgia" w:hAnsi="Georgia" w:cs="Times New Roman"/>
          <w:color w:val="222222"/>
          <w:lang w:val="en-US"/>
        </w:rPr>
        <w:t xml:space="preserve">Dalam </w:t>
      </w:r>
      <w:r w:rsidR="00A06BAD" w:rsidRPr="00A06BAD">
        <w:rPr>
          <w:rFonts w:ascii="Georgia" w:hAnsi="Georgia" w:cs="Times New Roman"/>
          <w:color w:val="222222"/>
          <w:lang w:val="en-US"/>
        </w:rPr>
        <w:t>masyarakat</w:t>
      </w:r>
      <w:r w:rsidR="00A06BAD">
        <w:rPr>
          <w:rFonts w:ascii="Georgia" w:hAnsi="Georgia" w:cs="Times New Roman"/>
          <w:color w:val="222222"/>
          <w:lang w:val="en-US"/>
        </w:rPr>
        <w:t xml:space="preserve"> kontemporer</w:t>
      </w:r>
      <w:r w:rsidR="00A06BAD" w:rsidRPr="00A06BAD">
        <w:rPr>
          <w:rFonts w:ascii="Georgia" w:hAnsi="Georgia" w:cs="Times New Roman"/>
          <w:color w:val="222222"/>
          <w:lang w:val="en-US"/>
        </w:rPr>
        <w:t xml:space="preserve">, kerjasama antar kelompok menjadi </w:t>
      </w:r>
      <w:r w:rsidR="00A06BAD">
        <w:rPr>
          <w:rFonts w:ascii="Georgia" w:hAnsi="Georgia" w:cs="Times New Roman"/>
          <w:color w:val="222222"/>
          <w:lang w:val="en-US"/>
        </w:rPr>
        <w:t xml:space="preserve">sangat </w:t>
      </w:r>
      <w:r w:rsidR="00A06BAD" w:rsidRPr="00A06BAD">
        <w:rPr>
          <w:rFonts w:ascii="Georgia" w:hAnsi="Georgia" w:cs="Times New Roman"/>
          <w:color w:val="222222"/>
          <w:lang w:val="en-US"/>
        </w:rPr>
        <w:t xml:space="preserve">penting </w:t>
      </w:r>
      <w:r w:rsidR="00A06BAD">
        <w:rPr>
          <w:rFonts w:ascii="Georgia" w:hAnsi="Georgia" w:cs="Times New Roman"/>
          <w:color w:val="222222"/>
          <w:lang w:val="en-US"/>
        </w:rPr>
        <w:t xml:space="preserve">yang </w:t>
      </w:r>
      <w:r w:rsidR="00A06BAD" w:rsidRPr="00A06BAD">
        <w:rPr>
          <w:rFonts w:ascii="Georgia" w:hAnsi="Georgia" w:cs="Times New Roman"/>
          <w:color w:val="222222"/>
          <w:lang w:val="en-US"/>
        </w:rPr>
        <w:t>sejalan dengan perkembangan ilmu pengetahuan</w:t>
      </w:r>
      <w:r w:rsidR="00A06BAD">
        <w:rPr>
          <w:rFonts w:ascii="Georgia" w:hAnsi="Georgia" w:cs="Times New Roman"/>
          <w:color w:val="222222"/>
          <w:lang w:val="en-US"/>
        </w:rPr>
        <w:t xml:space="preserve"> </w:t>
      </w:r>
      <w:r w:rsidR="00A06BAD" w:rsidRPr="00A06BAD">
        <w:rPr>
          <w:rFonts w:ascii="Georgia" w:hAnsi="Georgia" w:cs="Times New Roman"/>
          <w:color w:val="222222"/>
          <w:lang w:val="en-US"/>
        </w:rPr>
        <w:t>dan teknologi</w:t>
      </w:r>
      <w:r w:rsidR="00A06BAD">
        <w:rPr>
          <w:rFonts w:ascii="Georgia" w:hAnsi="Georgia" w:cs="Times New Roman"/>
          <w:color w:val="222222"/>
          <w:lang w:val="en-US"/>
        </w:rPr>
        <w:t xml:space="preserve"> saat ini</w:t>
      </w:r>
      <w:r w:rsidR="00A06BAD" w:rsidRPr="00A06BAD">
        <w:rPr>
          <w:rFonts w:ascii="Georgia" w:hAnsi="Georgia" w:cs="Times New Roman"/>
          <w:color w:val="222222"/>
          <w:lang w:val="en-US"/>
        </w:rPr>
        <w:t>.</w:t>
      </w:r>
      <w:proofErr w:type="gramEnd"/>
      <w:r w:rsidR="00A06BAD" w:rsidRPr="00A06BAD">
        <w:rPr>
          <w:rFonts w:ascii="Georgia" w:hAnsi="Georgia" w:cs="Times New Roman"/>
          <w:color w:val="222222"/>
          <w:lang w:val="en-US"/>
        </w:rPr>
        <w:t xml:space="preserve"> </w:t>
      </w:r>
      <w:r w:rsidR="00A06BAD">
        <w:rPr>
          <w:rFonts w:ascii="Georgia" w:hAnsi="Georgia" w:cs="Times New Roman"/>
          <w:color w:val="222222"/>
          <w:lang w:val="en-US"/>
        </w:rPr>
        <w:t>M</w:t>
      </w:r>
      <w:r w:rsidR="00A06BAD" w:rsidRPr="00A06BAD">
        <w:rPr>
          <w:rFonts w:ascii="Georgia" w:hAnsi="Georgia" w:cs="Times New Roman"/>
          <w:color w:val="222222"/>
          <w:lang w:val="en-US"/>
        </w:rPr>
        <w:t>asyarakat perlu mengemb</w:t>
      </w:r>
      <w:r w:rsidR="00DB7C47">
        <w:rPr>
          <w:rFonts w:ascii="Georgia" w:hAnsi="Georgia" w:cs="Times New Roman"/>
          <w:color w:val="222222"/>
          <w:lang w:val="en-US"/>
        </w:rPr>
        <w:t xml:space="preserve">angkan perilaku untuk bekerja </w:t>
      </w:r>
      <w:r w:rsidR="00A06BAD" w:rsidRPr="00A06BAD">
        <w:rPr>
          <w:rFonts w:ascii="Georgia" w:hAnsi="Georgia" w:cs="Times New Roman"/>
          <w:color w:val="222222"/>
          <w:lang w:val="en-US"/>
        </w:rPr>
        <w:t>sam</w:t>
      </w:r>
      <w:r w:rsidR="00DB7C47">
        <w:rPr>
          <w:rFonts w:ascii="Georgia" w:hAnsi="Georgia" w:cs="Times New Roman"/>
          <w:color w:val="222222"/>
          <w:lang w:val="en-US"/>
        </w:rPr>
        <w:t>a dengan orang lain khususnya di</w:t>
      </w:r>
      <w:r w:rsidR="00A06BAD" w:rsidRPr="00A06BAD">
        <w:rPr>
          <w:rFonts w:ascii="Georgia" w:hAnsi="Georgia" w:cs="Times New Roman"/>
          <w:color w:val="222222"/>
          <w:lang w:val="en-US"/>
        </w:rPr>
        <w:t xml:space="preserve"> bidang pendidikan, </w:t>
      </w:r>
      <w:r w:rsidR="00A06BAD">
        <w:rPr>
          <w:rFonts w:ascii="Georgia" w:hAnsi="Georgia" w:cs="Times New Roman"/>
          <w:color w:val="222222"/>
          <w:lang w:val="en-US"/>
        </w:rPr>
        <w:t>dalam pen</w:t>
      </w:r>
      <w:r w:rsidR="00A06BAD" w:rsidRPr="00A06BAD">
        <w:rPr>
          <w:rFonts w:ascii="Georgia" w:hAnsi="Georgia" w:cs="Times New Roman"/>
          <w:color w:val="222222"/>
          <w:lang w:val="en-US"/>
        </w:rPr>
        <w:t>gembangkan keterampilan</w:t>
      </w:r>
      <w:r w:rsidR="00DB7C47">
        <w:rPr>
          <w:rFonts w:ascii="Georgia" w:hAnsi="Georgia" w:cs="Times New Roman"/>
          <w:color w:val="222222"/>
          <w:lang w:val="en-US"/>
        </w:rPr>
        <w:t xml:space="preserve"> </w:t>
      </w:r>
      <w:r w:rsidR="00CC46AA">
        <w:rPr>
          <w:rFonts w:ascii="Georgia" w:hAnsi="Georgia" w:cs="Times New Roman"/>
          <w:color w:val="222222"/>
          <w:lang w:val="en-US"/>
        </w:rPr>
        <w:fldChar w:fldCharType="begin" w:fldLock="1"/>
      </w:r>
      <w:r w:rsidR="00CC46AA">
        <w:rPr>
          <w:rFonts w:ascii="Georgia" w:hAnsi="Georgia" w:cs="Times New Roman"/>
          <w:color w:val="222222"/>
          <w:lang w:val="en-US"/>
        </w:rPr>
        <w:instrText>ADDIN CSL_CITATION {"citationItems":[{"id":"ITEM-1","itemData":{"DOI":"10.1080/02607476.2017.1321673","ISSN":"13600540","abstract":"Despite the well-established benefits of cooperative learning, implementation remains a challenge. This research aims to document these challenges at the elementary school level, drawing on teachers’ beliefs regarding learning as well as the difficulties teachers report. Results indicate that the most frequent instructional strategies reported are traditional ones such as teacher-monitored, collective class discussion, transmission and individual work. The use of these last two is particularly associated with teacher beliefs that learning derives from teacher-delivered knowledge. In general, this research found that teachers do not perceive cooperative learning as very easy to implement; over 40% introduce it occasionally and only 33% use it routinely. Teachers reported that they are particularly ill at ease with embedding cooperative learning in the curriculum, finding the time required for cooperative learning and evaluating pupils when using cooperative learning. Results underline that, in addition to teachers’ learner-orientation beliefs predicting the use of cooperative learning, the more teachers report difficulties in embedding cooperative learning into the curriculum and finding time for it, the less they say they actually implement it. Contributions to teacher education programmes are discussed in the light of these findings.","author":[{"dropping-particle":"","family":"Buchs","given":"Céline","non-dropping-particle":"","parse-names":false,"suffix":""},{"dropping-particle":"","family":"Filippou","given":"Dimitra","non-dropping-particle":"","parse-names":false,"suffix":""},{"dropping-particle":"","family":"Pulfrey","given":"Caroline","non-dropping-particle":"","parse-names":false,"suffix":""},{"dropping-particle":"","family":"Volpé","given":"Yann","non-dropping-particle":"","parse-names":false,"suffix":""}],"container-title":"Journal of Education for Teaching","id":"ITEM-1","issue":"3","issued":{"date-parts":[["2017"]]},"page":"296-306","publisher":"Routledge","title":"Challenges for cooperative learning implementation: reports from elementary school teachers","type":"article-journal","volume":"43"},"uris":["http://www.mendeley.com/documents/?uuid=6bc43717-7474-4c95-ab7a-828de0d1223a"]}],"mendeley":{"formattedCitation":"(Buchs et al., 2017)","manualFormatting":"(Buchs et al., 2017","plainTextFormattedCitation":"(Buchs et al., 2017)","previouslyFormattedCitation":"(Buchs et al., 2017)"},"properties":{"noteIndex":0},"schema":"https://github.com/citation-style-language/schema/raw/master/csl-citation.json"}</w:instrText>
      </w:r>
      <w:r w:rsidR="00CC46AA">
        <w:rPr>
          <w:rFonts w:ascii="Georgia" w:hAnsi="Georgia" w:cs="Times New Roman"/>
          <w:color w:val="222222"/>
          <w:lang w:val="en-US"/>
        </w:rPr>
        <w:fldChar w:fldCharType="separate"/>
      </w:r>
      <w:r w:rsidR="00CC46AA" w:rsidRPr="00CC46AA">
        <w:rPr>
          <w:rFonts w:ascii="Georgia" w:hAnsi="Georgia" w:cs="Times New Roman"/>
          <w:noProof/>
          <w:color w:val="222222"/>
          <w:lang w:val="en-US"/>
        </w:rPr>
        <w:t>(Buchs et al., 2017</w:t>
      </w:r>
      <w:r w:rsidR="00CC46AA">
        <w:rPr>
          <w:rFonts w:ascii="Georgia" w:hAnsi="Georgia" w:cs="Times New Roman"/>
          <w:color w:val="222222"/>
          <w:lang w:val="en-US"/>
        </w:rPr>
        <w:fldChar w:fldCharType="end"/>
      </w:r>
      <w:r w:rsidR="00CC46AA">
        <w:rPr>
          <w:rFonts w:ascii="Georgia" w:hAnsi="Georgia" w:cs="Times New Roman"/>
          <w:color w:val="222222"/>
          <w:lang w:val="en-US"/>
        </w:rPr>
        <w:t xml:space="preserve">; </w:t>
      </w:r>
      <w:r w:rsidR="00CC46AA">
        <w:rPr>
          <w:rFonts w:ascii="Georgia" w:hAnsi="Georgia" w:cs="Times New Roman"/>
          <w:color w:val="222222"/>
          <w:lang w:val="en-US"/>
        </w:rPr>
        <w:fldChar w:fldCharType="begin" w:fldLock="1"/>
      </w:r>
      <w:r w:rsidR="00326C4D">
        <w:rPr>
          <w:rFonts w:ascii="Georgia" w:hAnsi="Georgia" w:cs="Times New Roman"/>
          <w:color w:val="222222"/>
          <w:lang w:val="en-US"/>
        </w:rPr>
        <w:instrText>ADDIN CSL_CITATION {"citationItems":[{"id":"ITEM-1","itemData":{"DOI":"10.1080/07303084.2019.1559671","ISSN":"21683816","abstract":"This article seeks to give practical examples of how teachers can promote the development of students' affective learning using two cooperative learning structures: Student teams assessment divisions (STAD) and jigsaw classroom. It also includes a taxonomy aimed to help teachers value and assess their students' affective learning. The article concludes by suggesting that if physical education is serious in its commitment to help all students learn across the different learning domains (i.e., physical, cognitive, social and affective), teachers need to be more selective in their choices of pedagogical approaches. In short, they must select those approaches capable of developing learning in the affective domain (e.g., cooperative learning and structures like STAD and jigsaw).","author":[{"dropping-particle":"","family":"Casey","given":"Ashley","non-dropping-particle":"","parse-names":false,"suffix":""},{"dropping-particle":"","family":"Fernandez-Rio","given":"Javier","non-dropping-particle":"","parse-names":false,"suffix":""}],"container-title":"Journal of Physical Education, Recreation and Dance","id":"ITEM-1","issue":"3","issued":{"date-parts":[["2019"]]},"page":"12-17","title":"Cooperative Learning and the Affective Domain","type":"article-journal","volume":"90"},"uris":["http://www.mendeley.com/documents/?uuid=6cb039d4-65b7-4e70-8ecb-5428bfb10c85"]}],"mendeley":{"formattedCitation":"(Casey &amp; Fernandez-Rio, 2019)","manualFormatting":"Casey &amp; Fernandez-Rio, 2019)","plainTextFormattedCitation":"(Casey &amp; Fernandez-Rio, 2019)","previouslyFormattedCitation":"(Casey &amp; Fernandez-Rio, 2019)"},"properties":{"noteIndex":0},"schema":"https://github.com/citation-style-language/schema/raw/master/csl-citation.json"}</w:instrText>
      </w:r>
      <w:r w:rsidR="00CC46AA">
        <w:rPr>
          <w:rFonts w:ascii="Georgia" w:hAnsi="Georgia" w:cs="Times New Roman"/>
          <w:color w:val="222222"/>
          <w:lang w:val="en-US"/>
        </w:rPr>
        <w:fldChar w:fldCharType="separate"/>
      </w:r>
      <w:r w:rsidR="00CC46AA" w:rsidRPr="00CC46AA">
        <w:rPr>
          <w:rFonts w:ascii="Georgia" w:hAnsi="Georgia" w:cs="Times New Roman"/>
          <w:noProof/>
          <w:color w:val="222222"/>
          <w:lang w:val="en-US"/>
        </w:rPr>
        <w:t>Casey &amp; Fernandez-Rio, 2019)</w:t>
      </w:r>
      <w:r w:rsidR="00CC46AA">
        <w:rPr>
          <w:rFonts w:ascii="Georgia" w:hAnsi="Georgia" w:cs="Times New Roman"/>
          <w:color w:val="222222"/>
          <w:lang w:val="en-US"/>
        </w:rPr>
        <w:fldChar w:fldCharType="end"/>
      </w:r>
      <w:r w:rsidR="00141559">
        <w:rPr>
          <w:rFonts w:ascii="Georgia" w:hAnsi="Georgia" w:cs="Times New Roman"/>
          <w:color w:val="222222"/>
          <w:lang w:val="en-US"/>
        </w:rPr>
        <w:t xml:space="preserve">. </w:t>
      </w:r>
      <w:r w:rsidR="000028A5" w:rsidRPr="000028A5">
        <w:rPr>
          <w:rFonts w:ascii="Georgia" w:hAnsi="Georgia" w:cs="Times New Roman"/>
          <w:color w:val="222222"/>
          <w:lang w:val="en-US"/>
        </w:rPr>
        <w:t>Programme for International Student Assessment (PISA)</w:t>
      </w:r>
      <w:r w:rsidR="000028A5">
        <w:rPr>
          <w:rFonts w:ascii="Georgia" w:hAnsi="Georgia" w:cs="Times New Roman"/>
          <w:color w:val="222222"/>
          <w:lang w:val="en-US"/>
        </w:rPr>
        <w:t xml:space="preserve"> menjelaskan bahwa 87% pembelajaran telah berorientasi pada pemecahan masalah, kolaboratif, kritis dan kreatif</w:t>
      </w:r>
      <w:r w:rsidR="00326C4D">
        <w:rPr>
          <w:rFonts w:ascii="Georgia" w:hAnsi="Georgia" w:cs="Times New Roman"/>
          <w:color w:val="222222"/>
          <w:lang w:val="en-US"/>
        </w:rPr>
        <w:t xml:space="preserve"> </w:t>
      </w:r>
      <w:r w:rsidR="00326C4D">
        <w:rPr>
          <w:rFonts w:ascii="Georgia" w:hAnsi="Georgia" w:cs="Times New Roman"/>
          <w:color w:val="222222"/>
          <w:lang w:val="en-US"/>
        </w:rPr>
        <w:fldChar w:fldCharType="begin" w:fldLock="1"/>
      </w:r>
      <w:r w:rsidR="00EF42CE">
        <w:rPr>
          <w:rFonts w:ascii="Georgia" w:hAnsi="Georgia" w:cs="Times New Roman"/>
          <w:color w:val="222222"/>
          <w:lang w:val="en-US"/>
        </w:rPr>
        <w:instrText>ADDIN CSL_CITATION {"citationItems":[{"id":"ITEM-1","itemData":{"DOI":"10.1080/0969594X.2018.1469467","ISSN":"1465329X","abstract":"Noncognitive assessments in Programme for International Student Assessment (PISA) and Trends in International Mathematics and Science Study share certain similarities and provide complementary information, yet their comparability is seldom checked and convergence not sought. We made use of student self-report data of Instrumental Motivation, Enjoyment of Science and Sense of Belonging to School targeted in both surveys in 29 overlapping countries to (1) demonstrate levels of measurement comparability, (2) check convergence of different scaling methods within survey and (3) check convergence of these constructs with student achievement across surveys. We found that the three scales in either survey (except Sense of Belonging to School in PISA) reached at least metric invariance. The scale scores from the multigroup confirmatory factor analysis and the item response theory analysis were highly correlated, pointing to robustness of scaling methods. The correlations between each construct and achievement was generally positive within each culture in each survey, and the correlational pattern was similar across surveys (except for Sense of Belonging), indicating certain convergence in the cross-survey validation. We stress the importance of checking measurement invariance before making comparative inferences, and we discuss implications on the quality and relevance of these constructs in understating learning.","author":[{"dropping-particle":"","family":"He","given":"Jia","non-dropping-particle":"","parse-names":false,"suffix":""},{"dropping-particle":"","family":"Barrera-Pedemonte","given":"Fabián","non-dropping-particle":"","parse-names":false,"suffix":""},{"dropping-particle":"","family":"Buchholz","given":"Janine","non-dropping-particle":"","parse-names":false,"suffix":""}],"container-title":"Assessment in Education: Principles, Policy and Practice","id":"ITEM-1","issue":"4","issued":{"date-parts":[["2019"]]},"page":"369-385","publisher":"Routledge","title":"Cross-cultural comparability of noncognitive constructs in TIMSS and PISA","type":"article-journal","volume":"26"},"uris":["http://www.mendeley.com/documents/?uuid=7d2e6603-b29a-4361-9de4-9bc9613fea52"]}],"mendeley":{"formattedCitation":"(He et al., 2019)","plainTextFormattedCitation":"(He et al., 2019)","previouslyFormattedCitation":"(He et al., 2019)"},"properties":{"noteIndex":0},"schema":"https://github.com/citation-style-language/schema/raw/master/csl-citation.json"}</w:instrText>
      </w:r>
      <w:r w:rsidR="00326C4D">
        <w:rPr>
          <w:rFonts w:ascii="Georgia" w:hAnsi="Georgia" w:cs="Times New Roman"/>
          <w:color w:val="222222"/>
          <w:lang w:val="en-US"/>
        </w:rPr>
        <w:fldChar w:fldCharType="separate"/>
      </w:r>
      <w:r w:rsidR="00326C4D" w:rsidRPr="00326C4D">
        <w:rPr>
          <w:rFonts w:ascii="Georgia" w:hAnsi="Georgia" w:cs="Times New Roman"/>
          <w:noProof/>
          <w:color w:val="222222"/>
          <w:lang w:val="en-US"/>
        </w:rPr>
        <w:t>(He et al., 2019)</w:t>
      </w:r>
      <w:r w:rsidR="00326C4D">
        <w:rPr>
          <w:rFonts w:ascii="Georgia" w:hAnsi="Georgia" w:cs="Times New Roman"/>
          <w:color w:val="222222"/>
          <w:lang w:val="en-US"/>
        </w:rPr>
        <w:fldChar w:fldCharType="end"/>
      </w:r>
      <w:r w:rsidR="00FF6488">
        <w:rPr>
          <w:rFonts w:ascii="Georgia" w:hAnsi="Georgia" w:cs="Times New Roman"/>
          <w:color w:val="222222"/>
          <w:lang w:val="en-US"/>
        </w:rPr>
        <w:t xml:space="preserve">. Hal ini menunjukkan bahwa masa mendatang, </w:t>
      </w:r>
      <w:r w:rsidR="00FF6488" w:rsidRPr="00FF6488">
        <w:rPr>
          <w:rFonts w:ascii="Georgia" w:hAnsi="Georgia" w:cs="Times New Roman"/>
          <w:color w:val="222222"/>
          <w:lang w:val="en-US"/>
        </w:rPr>
        <w:t xml:space="preserve">pembelajaran </w:t>
      </w:r>
      <w:r w:rsidR="00FF6488">
        <w:rPr>
          <w:rFonts w:ascii="Georgia" w:hAnsi="Georgia" w:cs="Times New Roman"/>
          <w:color w:val="222222"/>
          <w:lang w:val="en-US"/>
        </w:rPr>
        <w:t xml:space="preserve">lebih diarahkan pada </w:t>
      </w:r>
      <w:r w:rsidR="00DB7C47">
        <w:rPr>
          <w:rFonts w:ascii="Georgia" w:hAnsi="Georgia" w:cs="Times New Roman"/>
          <w:color w:val="222222"/>
          <w:lang w:val="en-US"/>
        </w:rPr>
        <w:t xml:space="preserve">pembelajaran </w:t>
      </w:r>
      <w:r w:rsidR="00FF6488">
        <w:rPr>
          <w:rFonts w:ascii="Georgia" w:hAnsi="Georgia" w:cs="Times New Roman"/>
          <w:color w:val="222222"/>
          <w:lang w:val="en-US"/>
        </w:rPr>
        <w:t>kooperatif</w:t>
      </w:r>
      <w:r w:rsidR="00DB7C47">
        <w:rPr>
          <w:rFonts w:ascii="Georgia" w:hAnsi="Georgia" w:cs="Times New Roman"/>
          <w:color w:val="222222"/>
          <w:lang w:val="en-US"/>
        </w:rPr>
        <w:t xml:space="preserve"> </w:t>
      </w:r>
      <w:r w:rsidR="00DB7C47">
        <w:rPr>
          <w:rFonts w:ascii="Georgia" w:hAnsi="Georgia" w:cs="Times New Roman"/>
          <w:color w:val="222222"/>
          <w:lang w:val="en-US"/>
        </w:rPr>
        <w:fldChar w:fldCharType="begin" w:fldLock="1"/>
      </w:r>
      <w:r w:rsidR="00D13B33">
        <w:rPr>
          <w:rFonts w:ascii="Georgia" w:hAnsi="Georgia" w:cs="Times New Roman"/>
          <w:color w:val="222222"/>
          <w:lang w:val="en-US"/>
        </w:rPr>
        <w:instrText>ADDIN CSL_CITATION {"citationItems":[{"id":"ITEM-1","itemData":{"DOI":"10.15804/tner.2016.46.4.15","ISSN":"17326729","abstract":"This study aimed to examine the effectiveness and practicality of modules used to teach the elementary students in Ambon, Moluccas, Indonesia and as a result generate a thematic module based on Numbered Heads Together (NHT) cooperative learning model. We adopted a 4D development model, which comprises four stages: Define, design, develop, and disseminate to produce the module. A survey and interviews were conducted at the define stage and the results proved that the students used modules which only accommodate the traditional learning model. These modules did not provide the students with activities which could help improve their thinking skills. At the define stage, a thematic module was created and at the develop stage, it was revised based on suggestions from experts and the results of the field try-outs. The use of the module showed a significant improvement in student achievement. The final step of the development of the module was performed by providing teachers with a training program on teaching resources and lesson study. Future research is expected to be empirical so that it can investigate the effect of the thematic module on students’ higher order thinking skills.","author":[{"dropping-particle":"","family":"Leasa","given":"Marleny","non-dropping-particle":"","parse-names":false,"suffix":""},{"dropping-particle":"","family":"Talakua","given":"Melvie","non-dropping-particle":"","parse-names":false,"suffix":""},{"dropping-particle":"","family":"Batlolona","given":"John Rafafy","non-dropping-particle":"","parse-names":false,"suffix":""}],"container-title":"New Educational Review","id":"ITEM-1","issue":"4","issued":{"date-parts":[["2016"]]},"page":"174-185","title":"The development of a thematic module based on Numbered Heads Together (NHT) cooperative learning model for elementary students in Ambon, Moluccas-Indonesia","type":"article-journal","volume":"46"},"uris":["http://www.mendeley.com/documents/?uuid=01b5b868-b40b-4391-b7c6-3bab038adad7"]}],"mendeley":{"formattedCitation":"(Leasa et al., 2016)","plainTextFormattedCitation":"(Leasa et al., 2016)","previouslyFormattedCitation":"(Leasa et al., 2016)"},"properties":{"noteIndex":0},"schema":"https://github.com/citation-style-language/schema/raw/master/csl-citation.json"}</w:instrText>
      </w:r>
      <w:r w:rsidR="00DB7C47">
        <w:rPr>
          <w:rFonts w:ascii="Georgia" w:hAnsi="Georgia" w:cs="Times New Roman"/>
          <w:color w:val="222222"/>
          <w:lang w:val="en-US"/>
        </w:rPr>
        <w:fldChar w:fldCharType="separate"/>
      </w:r>
      <w:r w:rsidR="00DB7C47" w:rsidRPr="00DB7C47">
        <w:rPr>
          <w:rFonts w:ascii="Georgia" w:hAnsi="Georgia" w:cs="Times New Roman"/>
          <w:noProof/>
          <w:color w:val="222222"/>
          <w:lang w:val="en-US"/>
        </w:rPr>
        <w:t>(Leasa et al., 2016)</w:t>
      </w:r>
      <w:r w:rsidR="00DB7C47">
        <w:rPr>
          <w:rFonts w:ascii="Georgia" w:hAnsi="Georgia" w:cs="Times New Roman"/>
          <w:color w:val="222222"/>
          <w:lang w:val="en-US"/>
        </w:rPr>
        <w:fldChar w:fldCharType="end"/>
      </w:r>
      <w:r w:rsidR="00FF6488" w:rsidRPr="00FF6488">
        <w:rPr>
          <w:rFonts w:ascii="Georgia" w:hAnsi="Georgia" w:cs="Times New Roman"/>
          <w:color w:val="222222"/>
          <w:lang w:val="en-US"/>
        </w:rPr>
        <w:t xml:space="preserve">. </w:t>
      </w:r>
      <w:r w:rsidR="00FF6488">
        <w:rPr>
          <w:rFonts w:ascii="Georgia" w:hAnsi="Georgia" w:cs="Times New Roman"/>
          <w:color w:val="222222"/>
          <w:lang w:val="en-US"/>
        </w:rPr>
        <w:t xml:space="preserve">Sebagai bagian </w:t>
      </w:r>
      <w:r w:rsidR="003660BD">
        <w:rPr>
          <w:rFonts w:ascii="Georgia" w:hAnsi="Georgia" w:cs="Times New Roman"/>
          <w:color w:val="222222"/>
          <w:lang w:val="en-US"/>
        </w:rPr>
        <w:t xml:space="preserve">dari </w:t>
      </w:r>
      <w:r w:rsidR="00FF6488" w:rsidRPr="00FF6488">
        <w:rPr>
          <w:rFonts w:ascii="Georgia" w:hAnsi="Georgia" w:cs="Times New Roman"/>
          <w:color w:val="222222"/>
          <w:lang w:val="en-US"/>
        </w:rPr>
        <w:t xml:space="preserve">tren pengajaran baru </w:t>
      </w:r>
      <w:r w:rsidR="00FF6488">
        <w:rPr>
          <w:rFonts w:ascii="Georgia" w:hAnsi="Georgia" w:cs="Times New Roman"/>
          <w:color w:val="222222"/>
          <w:lang w:val="en-US"/>
        </w:rPr>
        <w:t xml:space="preserve">dalam </w:t>
      </w:r>
      <w:r w:rsidR="00FF6488" w:rsidRPr="00FF6488">
        <w:rPr>
          <w:rFonts w:ascii="Georgia" w:hAnsi="Georgia" w:cs="Times New Roman"/>
          <w:color w:val="222222"/>
          <w:lang w:val="en-US"/>
        </w:rPr>
        <w:t xml:space="preserve">bidang pendidikan </w:t>
      </w:r>
      <w:r w:rsidR="003660BD">
        <w:rPr>
          <w:rFonts w:ascii="Georgia" w:hAnsi="Georgia" w:cs="Times New Roman"/>
          <w:color w:val="222222"/>
          <w:lang w:val="en-US"/>
        </w:rPr>
        <w:t>yang mengge</w:t>
      </w:r>
      <w:r w:rsidR="00FF6488">
        <w:rPr>
          <w:rFonts w:ascii="Georgia" w:hAnsi="Georgia" w:cs="Times New Roman"/>
          <w:color w:val="222222"/>
          <w:lang w:val="en-US"/>
        </w:rPr>
        <w:t>serkan pembelajaran</w:t>
      </w:r>
      <w:r w:rsidR="00FF6488" w:rsidRPr="00FF6488">
        <w:rPr>
          <w:rFonts w:ascii="Georgia" w:hAnsi="Georgia" w:cs="Times New Roman"/>
          <w:color w:val="222222"/>
          <w:lang w:val="en-US"/>
        </w:rPr>
        <w:t xml:space="preserve"> didaktik </w:t>
      </w:r>
      <w:r w:rsidR="00FF6488">
        <w:rPr>
          <w:rFonts w:ascii="Georgia" w:hAnsi="Georgia" w:cs="Times New Roman"/>
          <w:color w:val="222222"/>
          <w:lang w:val="en-US"/>
        </w:rPr>
        <w:t xml:space="preserve">yang masih </w:t>
      </w:r>
      <w:r w:rsidR="00BF4CE2">
        <w:rPr>
          <w:rFonts w:ascii="Georgia" w:hAnsi="Georgia" w:cs="Times New Roman"/>
          <w:color w:val="222222"/>
          <w:lang w:val="en-US"/>
        </w:rPr>
        <w:t>tradisional</w:t>
      </w:r>
      <w:r w:rsidR="00FF6488" w:rsidRPr="00FF6488">
        <w:rPr>
          <w:rFonts w:ascii="Georgia" w:hAnsi="Georgia" w:cs="Times New Roman"/>
          <w:color w:val="222222"/>
          <w:lang w:val="en-US"/>
        </w:rPr>
        <w:t xml:space="preserve"> </w:t>
      </w:r>
      <w:r w:rsidR="00FF6488">
        <w:rPr>
          <w:rFonts w:ascii="Georgia" w:hAnsi="Georgia" w:cs="Times New Roman"/>
          <w:color w:val="222222"/>
          <w:lang w:val="en-US"/>
        </w:rPr>
        <w:t>yang bersifat mandiri</w:t>
      </w:r>
      <w:r w:rsidR="00EF42CE">
        <w:rPr>
          <w:rFonts w:ascii="Georgia" w:hAnsi="Georgia" w:cs="Times New Roman"/>
          <w:color w:val="222222"/>
          <w:lang w:val="en-US"/>
        </w:rPr>
        <w:t xml:space="preserve"> </w:t>
      </w:r>
      <w:r w:rsidR="00EF42CE">
        <w:rPr>
          <w:rFonts w:ascii="Georgia" w:hAnsi="Georgia" w:cs="Times New Roman"/>
          <w:color w:val="222222"/>
          <w:lang w:val="en-US"/>
        </w:rPr>
        <w:fldChar w:fldCharType="begin" w:fldLock="1"/>
      </w:r>
      <w:r w:rsidR="00096362">
        <w:rPr>
          <w:rFonts w:ascii="Georgia" w:hAnsi="Georgia" w:cs="Times New Roman"/>
          <w:color w:val="222222"/>
          <w:lang w:val="en-US"/>
        </w:rPr>
        <w:instrText>ADDIN CSL_CITATION {"citationItems":[{"id":"ITEM-1","itemData":{"DOI":"10.1080/09639284.2018.1476893","ISSN":"14684489","abstract":"Studies of cooperative learning have focused largely on specific interventions within individual modules. The aim of this paper is to examine the student perceptions of their cumulative experiences at the end of a four-year undergraduate programme, during which cooperative learning work was implemented in a piecemeal manner, and explore how gender and academic ability impact on those experiences. Data was collected using a survey methodology. Students emphasised the process of cooperative learning, including peer learning and social support, rather than the deliverable outputs of group work. Both male and female students reported difficulties, such as dysfunctional interpersonal relationships and organisational challenges; however, these appear to have had a stronger impact on female students. Academic ability influenced the type of benefit students perceived as gained, with higher academic ability students emphasising social aspects and leadership skills. The results suggest that repeated exposure to cooperative learning had benefits, in terms of social benefits, peer learning and transferable skills, even where the manner of its implementation did not conform to the ideal framework for cooperative learning.","author":[{"dropping-particle":"","family":"Healy","given":"Margaret","non-dropping-particle":"","parse-names":false,"suffix":""},{"dropping-particle":"","family":"Doran","given":"John","non-dropping-particle":"","parse-names":false,"suffix":""},{"dropping-particle":"","family":"McCutcheon","given":"Maeve","non-dropping-particle":"","parse-names":false,"suffix":""}],"container-title":"Accounting Education","id":"ITEM-1","issue":"3","issued":{"date-parts":[["2018"]]},"page":"286-308","publisher":"Taylor &amp; Francis","title":"Cooperative learning outcomes from cumulative experiences of group work: differences in student perceptions","type":"article-journal","volume":"27"},"uris":["http://www.mendeley.com/documents/?uuid=9dbb97ba-85ad-4431-a6b5-e12c7ed8a656"]}],"mendeley":{"formattedCitation":"(Healy et al., 2018)","plainTextFormattedCitation":"(Healy et al., 2018)","previouslyFormattedCitation":"(Healy et al., 2018)"},"properties":{"noteIndex":0},"schema":"https://github.com/citation-style-language/schema/raw/master/csl-citation.json"}</w:instrText>
      </w:r>
      <w:r w:rsidR="00EF42CE">
        <w:rPr>
          <w:rFonts w:ascii="Georgia" w:hAnsi="Georgia" w:cs="Times New Roman"/>
          <w:color w:val="222222"/>
          <w:lang w:val="en-US"/>
        </w:rPr>
        <w:fldChar w:fldCharType="separate"/>
      </w:r>
      <w:r w:rsidR="00EF42CE" w:rsidRPr="00EF42CE">
        <w:rPr>
          <w:rFonts w:ascii="Georgia" w:hAnsi="Georgia" w:cs="Times New Roman"/>
          <w:noProof/>
          <w:color w:val="222222"/>
          <w:lang w:val="en-US"/>
        </w:rPr>
        <w:t>(Healy et al., 2018)</w:t>
      </w:r>
      <w:r w:rsidR="00EF42CE">
        <w:rPr>
          <w:rFonts w:ascii="Georgia" w:hAnsi="Georgia" w:cs="Times New Roman"/>
          <w:color w:val="222222"/>
          <w:lang w:val="en-US"/>
        </w:rPr>
        <w:fldChar w:fldCharType="end"/>
      </w:r>
      <w:r w:rsidR="00FF6488">
        <w:rPr>
          <w:rFonts w:ascii="Georgia" w:hAnsi="Georgia" w:cs="Times New Roman"/>
          <w:color w:val="222222"/>
          <w:lang w:val="en-US"/>
        </w:rPr>
        <w:t xml:space="preserve">. </w:t>
      </w:r>
      <w:r w:rsidR="00EF42CE">
        <w:rPr>
          <w:rFonts w:ascii="Georgia" w:hAnsi="Georgia" w:cs="Times New Roman"/>
          <w:color w:val="222222"/>
          <w:lang w:val="en-US"/>
        </w:rPr>
        <w:t>P</w:t>
      </w:r>
      <w:r w:rsidR="00FF6488" w:rsidRPr="00FF6488">
        <w:rPr>
          <w:rFonts w:ascii="Georgia" w:hAnsi="Georgia" w:cs="Times New Roman"/>
          <w:color w:val="222222"/>
          <w:lang w:val="en-US"/>
        </w:rPr>
        <w:t xml:space="preserve">embelajaran kooperatif dan </w:t>
      </w:r>
      <w:r w:rsidR="00EF42CE">
        <w:rPr>
          <w:rFonts w:ascii="Georgia" w:hAnsi="Georgia" w:cs="Times New Roman"/>
          <w:color w:val="222222"/>
          <w:lang w:val="en-US"/>
        </w:rPr>
        <w:t xml:space="preserve">keterampilan pemecahan masalah </w:t>
      </w:r>
      <w:r w:rsidR="00FF6488" w:rsidRPr="00FF6488">
        <w:rPr>
          <w:rFonts w:ascii="Georgia" w:hAnsi="Georgia" w:cs="Times New Roman"/>
          <w:color w:val="222222"/>
          <w:lang w:val="en-US"/>
        </w:rPr>
        <w:t xml:space="preserve">menjadi fokus perhatian internasional </w:t>
      </w:r>
      <w:r w:rsidR="00EF42CE">
        <w:rPr>
          <w:rFonts w:ascii="Georgia" w:hAnsi="Georgia" w:cs="Times New Roman"/>
          <w:color w:val="222222"/>
          <w:lang w:val="en-US"/>
        </w:rPr>
        <w:t xml:space="preserve">saat ini </w:t>
      </w:r>
      <w:r w:rsidR="00096362">
        <w:rPr>
          <w:rFonts w:ascii="Georgia" w:hAnsi="Georgia" w:cs="Times New Roman"/>
          <w:color w:val="222222"/>
          <w:lang w:val="en-US"/>
        </w:rPr>
        <w:fldChar w:fldCharType="begin" w:fldLock="1"/>
      </w:r>
      <w:r w:rsidR="00FF126F">
        <w:rPr>
          <w:rFonts w:ascii="Georgia" w:hAnsi="Georgia" w:cs="Times New Roman"/>
          <w:color w:val="222222"/>
          <w:lang w:val="en-US"/>
        </w:rPr>
        <w:instrText>ADDIN CSL_CITATION {"citationItems":[{"id":"ITEM-1","itemData":{"DOI":"10.1080/02607476.2017.1319509","ISSN":"13600540","abstract":"This article describes an in-service teachers’, staff-development model Peer Learning Network and presents results about its efficiency. Peer Learning Network promotes three levels of peer learning simultaneously (among pupils, teachers, and schools). It supports pairs of teachers from several schools, who are linked through a network, to use cooperative learning in their classrooms by implementing an adjustable peer-tutoring programme. The programme offers evidence of the progress of the pupils, and tries to guarantee the sustainability through a three-year, staff-development sequence that replaces the teacher pairs each year. After describing the peer-tutoring programme, results from 20 schools from one network in Spain are presented. These results show the effects on teacher learning on both concepts and attitudes, the decisions that pairs of teachers make to adjust the programme to their context, and the supports needed for success. This programme has been shown to be an effective and efficient way to help teachers introduce and use, in a sustained way, a method of cooperative learning in their classrooms.","author":[{"dropping-particle":"","family":"Miquel","given":"Ester","non-dropping-particle":"","parse-names":false,"suffix":""},{"dropping-particle":"","family":"Duran","given":"David","non-dropping-particle":"","parse-names":false,"suffix":""}],"container-title":"Journal of Education for Teaching","id":"ITEM-1","issue":"3","issued":{"date-parts":[["2017"]]},"page":"349-360","publisher":"Routledge","title":"Peer Learning Network: implementing and sustaining cooperative learning by teacher collaboration","type":"article-journal","volume":"43"},"uris":["http://www.mendeley.com/documents/?uuid=e288ada6-dd3f-4d63-80b3-982a0476ea05"]}],"mendeley":{"formattedCitation":"(Miquel &amp; Duran, 2017)","plainTextFormattedCitation":"(Miquel &amp; Duran, 2017)","previouslyFormattedCitation":"(Miquel &amp; Duran, 2017)"},"properties":{"noteIndex":0},"schema":"https://github.com/citation-style-language/schema/raw/master/csl-citation.json"}</w:instrText>
      </w:r>
      <w:r w:rsidR="00096362">
        <w:rPr>
          <w:rFonts w:ascii="Georgia" w:hAnsi="Georgia" w:cs="Times New Roman"/>
          <w:color w:val="222222"/>
          <w:lang w:val="en-US"/>
        </w:rPr>
        <w:fldChar w:fldCharType="separate"/>
      </w:r>
      <w:r w:rsidR="00096362" w:rsidRPr="00096362">
        <w:rPr>
          <w:rFonts w:ascii="Georgia" w:hAnsi="Georgia" w:cs="Times New Roman"/>
          <w:noProof/>
          <w:color w:val="222222"/>
          <w:lang w:val="en-US"/>
        </w:rPr>
        <w:t>(Miquel &amp; Duran, 2017)</w:t>
      </w:r>
      <w:r w:rsidR="00096362">
        <w:rPr>
          <w:rFonts w:ascii="Georgia" w:hAnsi="Georgia" w:cs="Times New Roman"/>
          <w:color w:val="222222"/>
          <w:lang w:val="en-US"/>
        </w:rPr>
        <w:fldChar w:fldCharType="end"/>
      </w:r>
      <w:r w:rsidR="00FF126F">
        <w:rPr>
          <w:rFonts w:ascii="Georgia" w:hAnsi="Georgia" w:cs="Times New Roman"/>
          <w:color w:val="222222"/>
          <w:lang w:val="en-US"/>
        </w:rPr>
        <w:t xml:space="preserve">; </w:t>
      </w:r>
      <w:r w:rsidR="00FF126F">
        <w:rPr>
          <w:rFonts w:ascii="Georgia" w:hAnsi="Georgia" w:cs="Times New Roman"/>
          <w:color w:val="222222"/>
          <w:lang w:val="en-US"/>
        </w:rPr>
        <w:fldChar w:fldCharType="begin" w:fldLock="1"/>
      </w:r>
      <w:r w:rsidR="00D178F7">
        <w:rPr>
          <w:rFonts w:ascii="Georgia" w:hAnsi="Georgia" w:cs="Times New Roman"/>
          <w:color w:val="222222"/>
          <w:lang w:val="en-US"/>
        </w:rPr>
        <w:instrText>ADDIN CSL_CITATION {"citationItems":[{"id":"ITEM-1","itemData":{"DOI":"10.1016/j.tate.2021.103453","ISSN":"0742051X","abstract":"The pedagogical model cooperative learning (CL) has generated extensive research documenting its benefits for students' learning. Nevertheless, studies indicate that teachers face challenges practising the method. This paper presents a narrative of one teacher's experience with CL from a longitudinal perspective. It shows that the teacher's participation in a professional development programme with a teacher team supported his use of CL. The team cultivated a community of practice. However, changing team after training negatively affected his use of CL. The study reveals the potential of a teacher team for practising CL and illuminates certain challenges faced when implementing the method.","author":[{"dropping-particle":"","family":"Liebech-Lien","given":"Beathe","non-dropping-particle":"","parse-names":false,"suffix":""}],"container-title":"Teaching and Teacher Education","id":"ITEM-1","issued":{"date-parts":[["2021"]]},"page":"103453","publisher":"Elsevier Ltd","title":"Teacher teams – A support or a barrier to practising cooperative learning?","type":"article-journal","volume":"106"},"uris":["http://www.mendeley.com/documents/?uuid=58a1a4d2-3681-4a3a-89c3-360bec6f8c27"]}],"mendeley":{"formattedCitation":"(Liebech-Lien, 2021)","plainTextFormattedCitation":"(Liebech-Lien, 2021)","previouslyFormattedCitation":"(Liebech-Lien, 2021)"},"properties":{"noteIndex":0},"schema":"https://github.com/citation-style-language/schema/raw/master/csl-citation.json"}</w:instrText>
      </w:r>
      <w:r w:rsidR="00FF126F">
        <w:rPr>
          <w:rFonts w:ascii="Georgia" w:hAnsi="Georgia" w:cs="Times New Roman"/>
          <w:color w:val="222222"/>
          <w:lang w:val="en-US"/>
        </w:rPr>
        <w:fldChar w:fldCharType="separate"/>
      </w:r>
      <w:r w:rsidR="00FF126F" w:rsidRPr="00FF126F">
        <w:rPr>
          <w:rFonts w:ascii="Georgia" w:hAnsi="Georgia" w:cs="Times New Roman"/>
          <w:noProof/>
          <w:color w:val="222222"/>
          <w:lang w:val="en-US"/>
        </w:rPr>
        <w:t>(Liebech-Lien, 2021)</w:t>
      </w:r>
      <w:r w:rsidR="00FF126F">
        <w:rPr>
          <w:rFonts w:ascii="Georgia" w:hAnsi="Georgia" w:cs="Times New Roman"/>
          <w:color w:val="222222"/>
          <w:lang w:val="en-US"/>
        </w:rPr>
        <w:fldChar w:fldCharType="end"/>
      </w:r>
      <w:r w:rsidR="00FF126F">
        <w:rPr>
          <w:rFonts w:ascii="Georgia" w:hAnsi="Georgia" w:cs="Times New Roman"/>
          <w:color w:val="222222"/>
          <w:lang w:val="en-US"/>
        </w:rPr>
        <w:t>.</w:t>
      </w:r>
    </w:p>
    <w:p w14:paraId="596CB589" w14:textId="3DE1FBAB" w:rsidR="00F71886" w:rsidRDefault="00473859" w:rsidP="005A1346">
      <w:pPr>
        <w:spacing w:after="0" w:line="240" w:lineRule="auto"/>
        <w:ind w:firstLine="567"/>
        <w:jc w:val="both"/>
        <w:rPr>
          <w:rFonts w:ascii="Georgia" w:hAnsi="Georgia" w:cs="Times New Roman"/>
          <w:color w:val="222222"/>
          <w:lang w:val="en-US"/>
        </w:rPr>
      </w:pPr>
      <w:proofErr w:type="gramStart"/>
      <w:r>
        <w:rPr>
          <w:rFonts w:ascii="Georgia" w:hAnsi="Georgia" w:cs="Times New Roman"/>
          <w:color w:val="222222"/>
          <w:lang w:val="en-US"/>
        </w:rPr>
        <w:t xml:space="preserve">Pendidikan jasmani </w:t>
      </w:r>
      <w:r w:rsidR="008E2205" w:rsidRPr="008E2205">
        <w:rPr>
          <w:rFonts w:ascii="Georgia" w:hAnsi="Georgia" w:cs="Times New Roman"/>
          <w:color w:val="222222"/>
          <w:lang w:val="en-US"/>
        </w:rPr>
        <w:t xml:space="preserve">hanya melibatkan pengajaran </w:t>
      </w:r>
      <w:r>
        <w:rPr>
          <w:rFonts w:ascii="Georgia" w:hAnsi="Georgia" w:cs="Times New Roman"/>
          <w:color w:val="222222"/>
          <w:lang w:val="en-US"/>
        </w:rPr>
        <w:t xml:space="preserve">yang melatih </w:t>
      </w:r>
      <w:r w:rsidR="008E2205" w:rsidRPr="008E2205">
        <w:rPr>
          <w:rFonts w:ascii="Georgia" w:hAnsi="Georgia" w:cs="Times New Roman"/>
          <w:color w:val="222222"/>
          <w:lang w:val="en-US"/>
        </w:rPr>
        <w:t>keteramp</w:t>
      </w:r>
      <w:r>
        <w:rPr>
          <w:rFonts w:ascii="Georgia" w:hAnsi="Georgia" w:cs="Times New Roman"/>
          <w:color w:val="222222"/>
          <w:lang w:val="en-US"/>
        </w:rPr>
        <w:t>ilan satu arah tanpa merangsang siswa untuk mencintai</w:t>
      </w:r>
      <w:r w:rsidR="008E2205" w:rsidRPr="008E2205">
        <w:rPr>
          <w:rFonts w:ascii="Georgia" w:hAnsi="Georgia" w:cs="Times New Roman"/>
          <w:color w:val="222222"/>
          <w:lang w:val="en-US"/>
        </w:rPr>
        <w:t xml:space="preserve"> olah</w:t>
      </w:r>
      <w:r>
        <w:rPr>
          <w:rFonts w:ascii="Georgia" w:hAnsi="Georgia" w:cs="Times New Roman"/>
          <w:color w:val="222222"/>
          <w:lang w:val="en-US"/>
        </w:rPr>
        <w:t>raga dan interaksi teman sebaya.</w:t>
      </w:r>
      <w:proofErr w:type="gramEnd"/>
      <w:r w:rsidR="008E2205" w:rsidRPr="008E2205">
        <w:rPr>
          <w:rFonts w:ascii="Georgia" w:hAnsi="Georgia" w:cs="Times New Roman"/>
          <w:color w:val="222222"/>
          <w:lang w:val="en-US"/>
        </w:rPr>
        <w:t xml:space="preserve"> </w:t>
      </w:r>
      <w:r>
        <w:rPr>
          <w:rFonts w:ascii="Georgia" w:hAnsi="Georgia" w:cs="Times New Roman"/>
          <w:color w:val="222222"/>
          <w:lang w:val="en-US"/>
        </w:rPr>
        <w:t xml:space="preserve">Pola kegiatan seperti </w:t>
      </w:r>
      <w:r w:rsidR="008E2205" w:rsidRPr="008E2205">
        <w:rPr>
          <w:rFonts w:ascii="Georgia" w:hAnsi="Georgia" w:cs="Times New Roman"/>
          <w:color w:val="222222"/>
          <w:lang w:val="en-US"/>
        </w:rPr>
        <w:t xml:space="preserve">ini akan </w:t>
      </w:r>
      <w:r w:rsidR="00DF3B10">
        <w:rPr>
          <w:rFonts w:ascii="Georgia" w:hAnsi="Georgia" w:cs="Times New Roman"/>
          <w:color w:val="222222"/>
          <w:lang w:val="en-US"/>
        </w:rPr>
        <w:t>membuat siswa menjadi jenuh</w:t>
      </w:r>
      <w:r>
        <w:rPr>
          <w:rFonts w:ascii="Georgia" w:hAnsi="Georgia" w:cs="Times New Roman"/>
          <w:color w:val="222222"/>
          <w:lang w:val="en-US"/>
        </w:rPr>
        <w:t xml:space="preserve"> karena guru melakukan pengajaran yang </w:t>
      </w:r>
      <w:r w:rsidR="008E2205" w:rsidRPr="008E2205">
        <w:rPr>
          <w:rFonts w:ascii="Georgia" w:hAnsi="Georgia" w:cs="Times New Roman"/>
          <w:color w:val="222222"/>
          <w:lang w:val="en-US"/>
        </w:rPr>
        <w:t>monoton,</w:t>
      </w:r>
      <w:r>
        <w:rPr>
          <w:rFonts w:ascii="Georgia" w:hAnsi="Georgia" w:cs="Times New Roman"/>
          <w:color w:val="222222"/>
          <w:lang w:val="en-US"/>
        </w:rPr>
        <w:t xml:space="preserve"> sehingga </w:t>
      </w:r>
      <w:r w:rsidR="008E2205" w:rsidRPr="008E2205">
        <w:rPr>
          <w:rFonts w:ascii="Georgia" w:hAnsi="Georgia" w:cs="Times New Roman"/>
          <w:color w:val="222222"/>
          <w:lang w:val="en-US"/>
        </w:rPr>
        <w:t>menyebabkan siswa kehilangan motivasi untuk terus berolahraga</w:t>
      </w:r>
      <w:r w:rsidR="00D178F7">
        <w:rPr>
          <w:rFonts w:ascii="Georgia" w:hAnsi="Georgia" w:cs="Times New Roman"/>
          <w:color w:val="222222"/>
          <w:lang w:val="en-US"/>
        </w:rPr>
        <w:t xml:space="preserve"> </w:t>
      </w:r>
      <w:r w:rsidR="00D178F7">
        <w:rPr>
          <w:rFonts w:ascii="Georgia" w:hAnsi="Georgia" w:cs="Times New Roman"/>
          <w:color w:val="222222"/>
          <w:lang w:val="en-US"/>
        </w:rPr>
        <w:fldChar w:fldCharType="begin" w:fldLock="1"/>
      </w:r>
      <w:r w:rsidR="00D178F7">
        <w:rPr>
          <w:rFonts w:ascii="Georgia" w:hAnsi="Georgia" w:cs="Times New Roman"/>
          <w:color w:val="222222"/>
          <w:lang w:val="en-US"/>
        </w:rPr>
        <w:instrText>ADDIN CSL_CITATION {"citationItems":[{"id":"ITEM-1","itemData":{"DOI":"10.1080/10413200.2011.580826","ISSN":"10413200","abstract":"This study examined the effect of cooperative learning on the acceptance of mainstream students with academic learning disabilities in physical education and the links between their athletic abilities and the acceptance by their regular counterparts. Eight sixth grade classes (M age = 11.8 years) practiced either in a cooperative learning structure (n = 105) or individual structure (n = 112). The sociometric rating scale technique (Frederickson &amp; Furnham, 1998) was employed to assess acceptance. Results showed that cooperative learning positively influenced the acceptance of the disabled mainstream students by their peers; however, the disabled mainstream students' athletic abilities were related to acceptance only in the individual structure. © Association for Applied Sport Psychology.","author":[{"dropping-particle":"","family":"André","given":"Amael","non-dropping-particle":"","parse-names":false,"suffix":""},{"dropping-particle":"","family":"Deneuve","given":"Pascale","non-dropping-particle":"","parse-names":false,"suffix":""},{"dropping-particle":"","family":"Louvet","given":"Benoit","non-dropping-particle":"","parse-names":false,"suffix":""}],"container-title":"Journal of Applied Sport Psychology","id":"ITEM-1","issue":"4","issued":{"date-parts":[["2011"]]},"page":"474-485","title":"Cooperative learning in physical education and acceptance of students with learning disabilities","type":"article-journal","volume":"23"},"uris":["http://www.mendeley.com/documents/?uuid=f34f132f-1497-43d7-bd4f-5c730ce0be96"]}],"mendeley":{"formattedCitation":"(André et al., 2011)","plainTextFormattedCitation":"(André et al., 2011)","previouslyFormattedCitation":"(André et al., 2011)"},"properties":{"noteIndex":0},"schema":"https://github.com/citation-style-language/schema/raw/master/csl-citation.json"}</w:instrText>
      </w:r>
      <w:r w:rsidR="00D178F7">
        <w:rPr>
          <w:rFonts w:ascii="Georgia" w:hAnsi="Georgia" w:cs="Times New Roman"/>
          <w:color w:val="222222"/>
          <w:lang w:val="en-US"/>
        </w:rPr>
        <w:fldChar w:fldCharType="separate"/>
      </w:r>
      <w:r w:rsidR="00D178F7" w:rsidRPr="00D178F7">
        <w:rPr>
          <w:rFonts w:ascii="Georgia" w:hAnsi="Georgia" w:cs="Times New Roman"/>
          <w:noProof/>
          <w:color w:val="222222"/>
          <w:lang w:val="en-US"/>
        </w:rPr>
        <w:t>(André et al., 2011)</w:t>
      </w:r>
      <w:r w:rsidR="00D178F7">
        <w:rPr>
          <w:rFonts w:ascii="Georgia" w:hAnsi="Georgia" w:cs="Times New Roman"/>
          <w:color w:val="222222"/>
          <w:lang w:val="en-US"/>
        </w:rPr>
        <w:fldChar w:fldCharType="end"/>
      </w:r>
      <w:r w:rsidR="00D178F7">
        <w:rPr>
          <w:rFonts w:ascii="Georgia" w:hAnsi="Georgia" w:cs="Times New Roman"/>
          <w:color w:val="222222"/>
          <w:lang w:val="en-US"/>
        </w:rPr>
        <w:t xml:space="preserve">; </w:t>
      </w:r>
      <w:r w:rsidR="00D178F7">
        <w:rPr>
          <w:rFonts w:ascii="Georgia" w:hAnsi="Georgia" w:cs="Times New Roman"/>
          <w:color w:val="222222"/>
          <w:lang w:val="en-US"/>
        </w:rPr>
        <w:fldChar w:fldCharType="begin" w:fldLock="1"/>
      </w:r>
      <w:r w:rsidR="00EC1F45">
        <w:rPr>
          <w:rFonts w:ascii="Georgia" w:hAnsi="Georgia" w:cs="Times New Roman"/>
          <w:color w:val="222222"/>
          <w:lang w:val="en-US"/>
        </w:rPr>
        <w:instrText>ADDIN CSL_CITATION {"citationItems":[{"id":"ITEM-1","itemData":{"DOI":"10.1080/17408989.2020.1761955","ISSN":"17425786","abstract":"Background: Although a review of literature on Cooperative Learning (CL) in Physical Education (PE) has shown that CL can facilitate student learning in all legitimate learning domains for PE [Casey, A., and V. A. Goodyear. 2015. “Can Cooperative Learning Achieve the Four Learning Outcomes of Physical Education? A Review of Literature.” Quest 67 (1): 56–72. doi:10.1080/00336297.2014.984733], we need further knowledge about student learning which results from the sustained implementation of the model beyond the initial unit. Purpose: This paper draws on 24 lessons of CL over two academic years investigating students’ learning journey through (a) teachers’ perceptions on students’ learning journey through CL, and (b) students’ experiences of their learning journey through CL. Method: The study is part of a larger participatory action research project and follows students through four related six-week interventions in PE. The study draws on different data sources such as interviews, observation notes and the researcher’s reflective diary in order to acquire an in-depth understanding of students’ learning journey. Through first author’s close presence throughout the project, Lars was very familiar with the data. Hence, the analysis adopted an abductive approach [Alvesson, M., and K. Sköldberg. 2018 Reflexive Methodology: New Vistas for Qualitative Research. 3rd ed. Los Angeles, CA: Sage] in which the empirical data were examined with the aid of pre-established theoretical concepts. Findings: Three themes emerged from the analysis. The first, ‘shifting attitudes’ highlighted how students changed their attitudes towards CL from being reluctant to positive. The second, ‘the influence of having learning objectives’ shows that working systematically with learning objectives over time, helped students understand that physical education is, in fact, a subject for learning. The final theme, ‘social- and emotional learning’, identified aspects of students’ learning that eventually results in all students being capable of working alongside their peers to master academic tasks in physical education. Conclusion: After experiencing learning through CL as meaningful, many students developed a positive attitude towards CL and working with their peers in small groups. The paper shows that having learning objectives is something most students appreciate and value. Nevertheless, working with learning objectives must be undertaken systematically over time so that students und…","author":[{"dropping-particle":"","family":"Bjørke","given":"Lars","non-dropping-particle":"","parse-names":false,"suffix":""},{"dropping-particle":"","family":"Mordal Moen","given":"Kjersti","non-dropping-particle":"","parse-names":false,"suffix":""}],"container-title":"Physical Education and Sport Pedagogy","id":"ITEM-1","issue":"6","issued":{"date-parts":[["2020"]]},"page":"600-612","title":"Cooperative learning in physical education: a study of students’ learning journey over 24 lessons","type":"article-journal","volume":"25"},"uris":["http://www.mendeley.com/documents/?uuid=4c0a765b-a639-4e89-bd75-ebe6ff125691"]}],"mendeley":{"formattedCitation":"(Bjørke &amp; Mordal Moen, 2020)","plainTextFormattedCitation":"(Bjørke &amp; Mordal Moen, 2020)","previouslyFormattedCitation":"(Bjørke &amp; Mordal Moen, 2020)"},"properties":{"noteIndex":0},"schema":"https://github.com/citation-style-language/schema/raw/master/csl-citation.json"}</w:instrText>
      </w:r>
      <w:r w:rsidR="00D178F7">
        <w:rPr>
          <w:rFonts w:ascii="Georgia" w:hAnsi="Georgia" w:cs="Times New Roman"/>
          <w:color w:val="222222"/>
          <w:lang w:val="en-US"/>
        </w:rPr>
        <w:fldChar w:fldCharType="separate"/>
      </w:r>
      <w:r w:rsidR="00D178F7" w:rsidRPr="00D178F7">
        <w:rPr>
          <w:rFonts w:ascii="Georgia" w:hAnsi="Georgia" w:cs="Times New Roman"/>
          <w:noProof/>
          <w:color w:val="222222"/>
          <w:lang w:val="en-US"/>
        </w:rPr>
        <w:t>(Bjørke &amp; Mordal Moen, 2020)</w:t>
      </w:r>
      <w:r w:rsidR="00D178F7">
        <w:rPr>
          <w:rFonts w:ascii="Georgia" w:hAnsi="Georgia" w:cs="Times New Roman"/>
          <w:color w:val="222222"/>
          <w:lang w:val="en-US"/>
        </w:rPr>
        <w:fldChar w:fldCharType="end"/>
      </w:r>
      <w:r>
        <w:rPr>
          <w:rFonts w:ascii="Georgia" w:hAnsi="Georgia" w:cs="Times New Roman"/>
          <w:color w:val="222222"/>
          <w:lang w:val="en-US"/>
        </w:rPr>
        <w:t xml:space="preserve">. Kegiatan ini bila tetap </w:t>
      </w:r>
      <w:r w:rsidR="00556FCE">
        <w:rPr>
          <w:rFonts w:ascii="Georgia" w:hAnsi="Georgia" w:cs="Times New Roman"/>
          <w:color w:val="222222"/>
          <w:lang w:val="en-US"/>
        </w:rPr>
        <w:t>dilaksanakan dengan gaya dan pola yang sama, maka</w:t>
      </w:r>
      <w:r>
        <w:rPr>
          <w:rFonts w:ascii="Georgia" w:hAnsi="Georgia" w:cs="Times New Roman"/>
          <w:color w:val="222222"/>
          <w:lang w:val="en-US"/>
        </w:rPr>
        <w:t xml:space="preserve"> akan berdampak </w:t>
      </w:r>
      <w:r w:rsidR="00556FCE">
        <w:rPr>
          <w:rFonts w:ascii="Georgia" w:hAnsi="Georgia" w:cs="Times New Roman"/>
          <w:color w:val="222222"/>
          <w:lang w:val="en-US"/>
        </w:rPr>
        <w:t xml:space="preserve">pada </w:t>
      </w:r>
      <w:r>
        <w:rPr>
          <w:rFonts w:ascii="Georgia" w:hAnsi="Georgia" w:cs="Times New Roman"/>
          <w:color w:val="222222"/>
          <w:lang w:val="en-US"/>
        </w:rPr>
        <w:t xml:space="preserve">penurunan  kompetensi dan hasil belajar kognitif siswa </w:t>
      </w:r>
      <w:r w:rsidR="00EC1F45">
        <w:rPr>
          <w:rFonts w:ascii="Georgia" w:hAnsi="Georgia" w:cs="Times New Roman"/>
          <w:color w:val="222222"/>
          <w:lang w:val="en-US"/>
        </w:rPr>
        <w:fldChar w:fldCharType="begin" w:fldLock="1"/>
      </w:r>
      <w:r w:rsidR="009B60A8">
        <w:rPr>
          <w:rFonts w:ascii="Georgia" w:hAnsi="Georgia" w:cs="Times New Roman"/>
          <w:color w:val="222222"/>
          <w:lang w:val="en-US"/>
        </w:rPr>
        <w:instrText>ADDIN CSL_CITATION {"citationItems":[{"id":"ITEM-1","itemData":{"DOI":"10.1177/1356336X20904075","ISSN":"17412749","abstract":"Cooperative learning can be considered as an umbrella term for a number of classroom practices. In this paper we consider the educative nature of cooperative learning in physical education, and we have challenged ourselves to examine how cooperative learning can enhance the education of young people. We do this by revisiting cooperative learning’s Deweyan foundations and hold that such a move would be a constructive way forward for cooperative learning in physical education. We argue that there is a risk, in not going back to its educational roots, that cooperative learning might just become another way to teach, for example, games or sports, and that it currently puts too much emphasis on destination rather than journey. We suggest that using Dewey’s idea of education and experience would add: a situational element, a directional element, a temporal element, a communal element and an educative element. In this way, the use of cooperative learning in physical education can move away from exclusively developing students’ skills, towards an open-ended process of becoming where a diversity of students transform and are being transformed by one another.","author":[{"dropping-particle":"","family":"Casey","given":"Ashley","non-dropping-particle":"","parse-names":false,"suffix":""},{"dropping-particle":"","family":"Quennerstedt","given":"Mikael","non-dropping-particle":"","parse-names":false,"suffix":""}],"container-title":"European Physical Education Review","id":"ITEM-1","issue":"4","issued":{"date-parts":[["2020"]]},"page":"1023-1037","title":"Cooperative learning in physical education encountering Dewey’s educational theory","type":"article-journal","volume":"26"},"uris":["http://www.mendeley.com/documents/?uuid=16938ded-5dad-457f-b838-d2d0d91ec1c4"]}],"mendeley":{"formattedCitation":"(Casey &amp; Quennerstedt, 2020)","plainTextFormattedCitation":"(Casey &amp; Quennerstedt, 2020)","previouslyFormattedCitation":"(Casey &amp; Quennerstedt, 2020)"},"properties":{"noteIndex":0},"schema":"https://github.com/citation-style-language/schema/raw/master/csl-citation.json"}</w:instrText>
      </w:r>
      <w:r w:rsidR="00EC1F45">
        <w:rPr>
          <w:rFonts w:ascii="Georgia" w:hAnsi="Georgia" w:cs="Times New Roman"/>
          <w:color w:val="222222"/>
          <w:lang w:val="en-US"/>
        </w:rPr>
        <w:fldChar w:fldCharType="separate"/>
      </w:r>
      <w:r w:rsidR="00EC1F45" w:rsidRPr="00EC1F45">
        <w:rPr>
          <w:rFonts w:ascii="Georgia" w:hAnsi="Georgia" w:cs="Times New Roman"/>
          <w:noProof/>
          <w:color w:val="222222"/>
          <w:lang w:val="en-US"/>
        </w:rPr>
        <w:t>(Casey &amp; Quennerstedt, 2020)</w:t>
      </w:r>
      <w:r w:rsidR="00EC1F45">
        <w:rPr>
          <w:rFonts w:ascii="Georgia" w:hAnsi="Georgia" w:cs="Times New Roman"/>
          <w:color w:val="222222"/>
          <w:lang w:val="en-US"/>
        </w:rPr>
        <w:fldChar w:fldCharType="end"/>
      </w:r>
      <w:r w:rsidR="008E2205" w:rsidRPr="008E2205">
        <w:rPr>
          <w:rFonts w:ascii="Georgia" w:hAnsi="Georgia" w:cs="Times New Roman"/>
          <w:color w:val="222222"/>
          <w:lang w:val="en-US"/>
        </w:rPr>
        <w:t xml:space="preserve">. </w:t>
      </w:r>
      <w:r w:rsidR="00F71886" w:rsidRPr="00F71886">
        <w:rPr>
          <w:rFonts w:ascii="Georgia" w:hAnsi="Georgia" w:cs="Times New Roman"/>
          <w:color w:val="222222"/>
          <w:lang w:val="en-US"/>
        </w:rPr>
        <w:t xml:space="preserve">Guru harus menunjukkan kemampuan </w:t>
      </w:r>
      <w:r w:rsidR="00F71886">
        <w:rPr>
          <w:rFonts w:ascii="Georgia" w:hAnsi="Georgia" w:cs="Times New Roman"/>
          <w:color w:val="222222"/>
          <w:lang w:val="en-US"/>
        </w:rPr>
        <w:t>interpersonal</w:t>
      </w:r>
      <w:r w:rsidR="00F71886" w:rsidRPr="00F71886">
        <w:rPr>
          <w:rFonts w:ascii="Georgia" w:hAnsi="Georgia" w:cs="Times New Roman"/>
          <w:color w:val="222222"/>
          <w:lang w:val="en-US"/>
        </w:rPr>
        <w:t xml:space="preserve"> dalam </w:t>
      </w:r>
      <w:r w:rsidR="00F71886">
        <w:rPr>
          <w:rFonts w:ascii="Georgia" w:hAnsi="Georgia" w:cs="Times New Roman"/>
          <w:color w:val="222222"/>
          <w:lang w:val="en-US"/>
        </w:rPr>
        <w:t>men</w:t>
      </w:r>
      <w:r w:rsidR="00F71886" w:rsidRPr="00F71886">
        <w:rPr>
          <w:rFonts w:ascii="Georgia" w:hAnsi="Georgia" w:cs="Times New Roman"/>
          <w:color w:val="222222"/>
          <w:lang w:val="en-US"/>
        </w:rPr>
        <w:t xml:space="preserve">desain </w:t>
      </w:r>
      <w:r w:rsidR="00F71886">
        <w:rPr>
          <w:rFonts w:ascii="Georgia" w:hAnsi="Georgia" w:cs="Times New Roman"/>
          <w:color w:val="222222"/>
          <w:lang w:val="en-US"/>
        </w:rPr>
        <w:t xml:space="preserve">pengajaran sebagai strategi dalam </w:t>
      </w:r>
      <w:r w:rsidR="00F71886" w:rsidRPr="00F71886">
        <w:rPr>
          <w:rFonts w:ascii="Georgia" w:hAnsi="Georgia" w:cs="Times New Roman"/>
          <w:color w:val="222222"/>
          <w:lang w:val="en-US"/>
        </w:rPr>
        <w:t xml:space="preserve">menumbuhkan pengetahuan dan kebiasaan </w:t>
      </w:r>
      <w:r w:rsidR="00F71886">
        <w:rPr>
          <w:rFonts w:ascii="Georgia" w:hAnsi="Georgia" w:cs="Times New Roman"/>
          <w:color w:val="222222"/>
          <w:lang w:val="en-US"/>
        </w:rPr>
        <w:t xml:space="preserve">siswa terkait olahraga, </w:t>
      </w:r>
      <w:r w:rsidR="00F71886" w:rsidRPr="00F71886">
        <w:rPr>
          <w:rFonts w:ascii="Georgia" w:hAnsi="Georgia" w:cs="Times New Roman"/>
          <w:color w:val="222222"/>
          <w:lang w:val="en-US"/>
        </w:rPr>
        <w:t xml:space="preserve">sekaligus menciptakan lingkungan belajar yang </w:t>
      </w:r>
      <w:r w:rsidR="00796244">
        <w:rPr>
          <w:rFonts w:ascii="Georgia" w:hAnsi="Georgia" w:cs="Times New Roman"/>
          <w:color w:val="222222"/>
          <w:lang w:val="en-US"/>
        </w:rPr>
        <w:t xml:space="preserve">mendorong siswa </w:t>
      </w:r>
      <w:r w:rsidR="00F71886" w:rsidRPr="00F71886">
        <w:rPr>
          <w:rFonts w:ascii="Georgia" w:hAnsi="Georgia" w:cs="Times New Roman"/>
          <w:color w:val="222222"/>
          <w:lang w:val="en-US"/>
        </w:rPr>
        <w:t>lebih aktif</w:t>
      </w:r>
      <w:r w:rsidR="009B60A8">
        <w:rPr>
          <w:rFonts w:ascii="Georgia" w:hAnsi="Georgia" w:cs="Times New Roman"/>
          <w:color w:val="222222"/>
          <w:lang w:val="en-US"/>
        </w:rPr>
        <w:t xml:space="preserve"> </w:t>
      </w:r>
      <w:r w:rsidR="009B60A8">
        <w:rPr>
          <w:rFonts w:ascii="Georgia" w:hAnsi="Georgia" w:cs="Times New Roman"/>
          <w:color w:val="222222"/>
          <w:lang w:val="en-US"/>
        </w:rPr>
        <w:fldChar w:fldCharType="begin" w:fldLock="1"/>
      </w:r>
      <w:r w:rsidR="00161610">
        <w:rPr>
          <w:rFonts w:ascii="Georgia" w:hAnsi="Georgia" w:cs="Times New Roman"/>
          <w:color w:val="222222"/>
          <w:lang w:val="en-US"/>
        </w:rPr>
        <w:instrText>ADDIN CSL_CITATION {"citationItems":[{"id":"ITEM-1","itemData":{"DOI":"10.3390/ijerph17145090","ISSN":"16604601","PMID":"32679653","abstract":"The present research had two complementary aims: (a) to examine the associations between cooperative learning (CL) and emotional intelligence (EI) in physical education (PE) and (b) to explore and compare the use of CL in PE in primary education (PED), secondary education (SED) and baccalaureate (BA). A total of 1332 students (682 males, 650 females) took part in the study. All participants were aged between 10 and 20 years old (M = 13.09; SD = 2.47) and belonged to 13 different schools in Southwest Spain. They completed the cooperative learning questionnaire (CLQ), referring to the PE classes, in addition to the emotional intelligence questionnaire in physical education (EIQPE). Positive and significant associations were found between CL and EI in all school stages. In addition, moderately strong associations were uncovered between CL and the different dimensions of EI: emotional recognition, emotional control and regulation and emotional empathy. Participants belonging to classrooms with larger cooperation indices presented higher levels of EI. Results also highlighted a greater use of CL in PE classes during the PED stage in comparison to the SED and BA stages. These outcomes are discussed in light of the existing literature and methodological implications are derived for teaching PE. The use of CL in PE is recommended because of its positive contribution to the affective domain through IE. This will be especially important during the SED and BA stages, where lower rates of CL were observed.","author":[{"dropping-particle":"","family":"Rivera-Pérez","given":"Sergio","non-dropping-particle":"","parse-names":false,"suffix":""},{"dropping-particle":"","family":"León-Del-barco","given":"Benito","non-dropping-particle":"","parse-names":false,"suffix":""},{"dropping-particle":"","family":"Fernandez-Rio","given":"Javier","non-dropping-particle":"","parse-names":false,"suffix":""},{"dropping-particle":"","family":"González-Bernal","given":"Jerónimo J.","non-dropping-particle":"","parse-names":false,"suffix":""},{"dropping-particle":"","family":"Gallego","given":"Damián Iglesias","non-dropping-particle":"","parse-names":false,"suffix":""}],"container-title":"International Journal of Environmental Research and Public Health","id":"ITEM-1","issue":"14","issued":{"date-parts":[["2020"]]},"page":"1-11","title":"Linking cooperative learning and emotional intelligence in physical education: Transition across school stages","type":"article-journal","volume":"17"},"uris":["http://www.mendeley.com/documents/?uuid=0182020e-8ecb-4035-aa3d-0d0d33d38e96"]}],"mendeley":{"formattedCitation":"(Rivera-Pérez et al., 2020)","plainTextFormattedCitation":"(Rivera-Pérez et al., 2020)","previouslyFormattedCitation":"(Rivera-Pérez et al., 2020)"},"properties":{"noteIndex":0},"schema":"https://github.com/citation-style-language/schema/raw/master/csl-citation.json"}</w:instrText>
      </w:r>
      <w:r w:rsidR="009B60A8">
        <w:rPr>
          <w:rFonts w:ascii="Georgia" w:hAnsi="Georgia" w:cs="Times New Roman"/>
          <w:color w:val="222222"/>
          <w:lang w:val="en-US"/>
        </w:rPr>
        <w:fldChar w:fldCharType="separate"/>
      </w:r>
      <w:r w:rsidR="009B60A8" w:rsidRPr="009B60A8">
        <w:rPr>
          <w:rFonts w:ascii="Georgia" w:hAnsi="Georgia" w:cs="Times New Roman"/>
          <w:noProof/>
          <w:color w:val="222222"/>
          <w:lang w:val="en-US"/>
        </w:rPr>
        <w:t>(Rivera-Pérez et al., 2020)</w:t>
      </w:r>
      <w:r w:rsidR="009B60A8">
        <w:rPr>
          <w:rFonts w:ascii="Georgia" w:hAnsi="Georgia" w:cs="Times New Roman"/>
          <w:color w:val="222222"/>
          <w:lang w:val="en-US"/>
        </w:rPr>
        <w:fldChar w:fldCharType="end"/>
      </w:r>
      <w:r w:rsidR="00F71886" w:rsidRPr="00F71886">
        <w:rPr>
          <w:rFonts w:ascii="Georgia" w:hAnsi="Georgia" w:cs="Times New Roman"/>
          <w:color w:val="222222"/>
          <w:lang w:val="en-US"/>
        </w:rPr>
        <w:t xml:space="preserve">. </w:t>
      </w:r>
    </w:p>
    <w:p w14:paraId="143DE550" w14:textId="032C8949" w:rsidR="00EC1308" w:rsidRDefault="009B60A8" w:rsidP="005A1346">
      <w:pPr>
        <w:spacing w:after="0" w:line="240" w:lineRule="auto"/>
        <w:ind w:firstLine="567"/>
        <w:jc w:val="both"/>
        <w:rPr>
          <w:rFonts w:ascii="Georgia" w:hAnsi="Georgia" w:cs="Times New Roman"/>
          <w:color w:val="222222"/>
          <w:lang w:val="en-US"/>
        </w:rPr>
      </w:pPr>
      <w:proofErr w:type="gramStart"/>
      <w:r w:rsidRPr="009B60A8">
        <w:rPr>
          <w:rFonts w:ascii="Georgia" w:hAnsi="Georgia" w:cs="Times New Roman"/>
          <w:color w:val="222222"/>
          <w:lang w:val="en-US"/>
        </w:rPr>
        <w:t xml:space="preserve">Sejak </w:t>
      </w:r>
      <w:r>
        <w:rPr>
          <w:rFonts w:ascii="Georgia" w:hAnsi="Georgia" w:cs="Times New Roman"/>
          <w:color w:val="222222"/>
          <w:lang w:val="en-US"/>
        </w:rPr>
        <w:t xml:space="preserve">tahun </w:t>
      </w:r>
      <w:r w:rsidRPr="009B60A8">
        <w:rPr>
          <w:rFonts w:ascii="Georgia" w:hAnsi="Georgia" w:cs="Times New Roman"/>
          <w:color w:val="222222"/>
          <w:lang w:val="en-US"/>
        </w:rPr>
        <w:t xml:space="preserve">1970-an, banyak </w:t>
      </w:r>
      <w:r>
        <w:rPr>
          <w:rFonts w:ascii="Georgia" w:hAnsi="Georgia" w:cs="Times New Roman"/>
          <w:color w:val="222222"/>
          <w:lang w:val="en-US"/>
        </w:rPr>
        <w:t xml:space="preserve">ilmuan </w:t>
      </w:r>
      <w:r w:rsidR="0058628C">
        <w:rPr>
          <w:rFonts w:ascii="Georgia" w:hAnsi="Georgia" w:cs="Times New Roman"/>
          <w:color w:val="222222"/>
          <w:lang w:val="en-US"/>
        </w:rPr>
        <w:t xml:space="preserve">dalam bidang </w:t>
      </w:r>
      <w:r w:rsidRPr="009B60A8">
        <w:rPr>
          <w:rFonts w:ascii="Georgia" w:hAnsi="Georgia" w:cs="Times New Roman"/>
          <w:color w:val="222222"/>
          <w:lang w:val="en-US"/>
        </w:rPr>
        <w:t xml:space="preserve">pendidikan </w:t>
      </w:r>
      <w:r w:rsidR="0058628C">
        <w:rPr>
          <w:rFonts w:ascii="Georgia" w:hAnsi="Georgia" w:cs="Times New Roman"/>
          <w:color w:val="222222"/>
          <w:lang w:val="en-US"/>
        </w:rPr>
        <w:t xml:space="preserve">telah mengembangkan model pembelajaran kooperatif </w:t>
      </w:r>
      <w:r w:rsidR="0058628C" w:rsidRPr="0058628C">
        <w:rPr>
          <w:rFonts w:ascii="Georgia" w:hAnsi="Georgia" w:cs="Times New Roman"/>
          <w:color w:val="222222"/>
          <w:lang w:val="en-US"/>
        </w:rPr>
        <w:t xml:space="preserve">team-game tournaments </w:t>
      </w:r>
      <w:r w:rsidRPr="009B60A8">
        <w:rPr>
          <w:rFonts w:ascii="Georgia" w:hAnsi="Georgia" w:cs="Times New Roman"/>
          <w:color w:val="222222"/>
          <w:lang w:val="en-US"/>
        </w:rPr>
        <w:t>(TGT).</w:t>
      </w:r>
      <w:proofErr w:type="gramEnd"/>
      <w:r w:rsidRPr="009B60A8">
        <w:rPr>
          <w:rFonts w:ascii="Georgia" w:hAnsi="Georgia" w:cs="Times New Roman"/>
          <w:color w:val="222222"/>
          <w:lang w:val="en-US"/>
        </w:rPr>
        <w:t xml:space="preserve"> </w:t>
      </w:r>
      <w:proofErr w:type="gramStart"/>
      <w:r w:rsidR="00AF5ACA">
        <w:rPr>
          <w:rFonts w:ascii="Georgia" w:hAnsi="Georgia" w:cs="Times New Roman"/>
          <w:color w:val="222222"/>
          <w:lang w:val="en-US"/>
        </w:rPr>
        <w:t xml:space="preserve">TGT awalnya </w:t>
      </w:r>
      <w:r w:rsidR="00AF5ACA" w:rsidRPr="00AF5ACA">
        <w:rPr>
          <w:rFonts w:ascii="Georgia" w:hAnsi="Georgia" w:cs="Times New Roman"/>
          <w:color w:val="222222"/>
          <w:lang w:val="en-US"/>
        </w:rPr>
        <w:t xml:space="preserve">dikembangkan oleh </w:t>
      </w:r>
      <w:r w:rsidR="00AF5ACA">
        <w:rPr>
          <w:rFonts w:ascii="Georgia" w:hAnsi="Georgia" w:cs="Times New Roman"/>
          <w:color w:val="222222"/>
          <w:lang w:val="en-US"/>
        </w:rPr>
        <w:t xml:space="preserve">David DeVries dan Keith Edwards dari </w:t>
      </w:r>
      <w:r w:rsidR="00AF5ACA" w:rsidRPr="00AF5ACA">
        <w:rPr>
          <w:rFonts w:ascii="Georgia" w:hAnsi="Georgia" w:cs="Times New Roman"/>
          <w:color w:val="222222"/>
          <w:lang w:val="en-US"/>
        </w:rPr>
        <w:t xml:space="preserve">Johns Hopkins University </w:t>
      </w:r>
      <w:r w:rsidR="00AF5ACA">
        <w:rPr>
          <w:rFonts w:ascii="Georgia" w:hAnsi="Georgia" w:cs="Times New Roman"/>
          <w:color w:val="222222"/>
          <w:lang w:val="en-US"/>
        </w:rPr>
        <w:t xml:space="preserve">sebagai </w:t>
      </w:r>
      <w:r w:rsidR="00AF5ACA" w:rsidRPr="00AF5ACA">
        <w:rPr>
          <w:rFonts w:ascii="Georgia" w:hAnsi="Georgia" w:cs="Times New Roman"/>
          <w:color w:val="222222"/>
          <w:lang w:val="en-US"/>
        </w:rPr>
        <w:t xml:space="preserve">metode pembelajaran </w:t>
      </w:r>
      <w:r w:rsidR="00AF5ACA">
        <w:rPr>
          <w:rFonts w:ascii="Georgia" w:hAnsi="Georgia" w:cs="Times New Roman"/>
          <w:color w:val="222222"/>
          <w:lang w:val="en-US"/>
        </w:rPr>
        <w:t xml:space="preserve">kooperatif </w:t>
      </w:r>
      <w:r w:rsidR="00AF5ACA" w:rsidRPr="00AF5ACA">
        <w:rPr>
          <w:rFonts w:ascii="Georgia" w:hAnsi="Georgia" w:cs="Times New Roman"/>
          <w:color w:val="222222"/>
          <w:lang w:val="en-US"/>
        </w:rPr>
        <w:t>(DeVries et a</w:t>
      </w:r>
      <w:r w:rsidR="00AF5ACA">
        <w:rPr>
          <w:rFonts w:ascii="Georgia" w:hAnsi="Georgia" w:cs="Times New Roman"/>
          <w:color w:val="222222"/>
          <w:lang w:val="en-US"/>
        </w:rPr>
        <w:t>l. 1975).</w:t>
      </w:r>
      <w:proofErr w:type="gramEnd"/>
      <w:r w:rsidR="00AF5ACA">
        <w:rPr>
          <w:rFonts w:ascii="Georgia" w:hAnsi="Georgia" w:cs="Times New Roman"/>
          <w:color w:val="222222"/>
          <w:lang w:val="en-US"/>
        </w:rPr>
        <w:t xml:space="preserve"> </w:t>
      </w:r>
      <w:r w:rsidRPr="009B60A8">
        <w:rPr>
          <w:rFonts w:ascii="Georgia" w:hAnsi="Georgia" w:cs="Times New Roman"/>
          <w:color w:val="222222"/>
          <w:lang w:val="en-US"/>
        </w:rPr>
        <w:t>TGT memungkinkan siswa untuk belajar dalam kelompok yang heterogen</w:t>
      </w:r>
      <w:r w:rsidR="0058628C">
        <w:rPr>
          <w:rFonts w:ascii="Georgia" w:hAnsi="Georgia" w:cs="Times New Roman"/>
          <w:color w:val="222222"/>
          <w:lang w:val="en-US"/>
        </w:rPr>
        <w:t xml:space="preserve"> </w:t>
      </w:r>
      <w:r w:rsidRPr="009B60A8">
        <w:rPr>
          <w:rFonts w:ascii="Georgia" w:hAnsi="Georgia" w:cs="Times New Roman"/>
          <w:color w:val="222222"/>
          <w:lang w:val="en-US"/>
        </w:rPr>
        <w:t>diurutkan menurut jenis kelamin dan prestasi belajar</w:t>
      </w:r>
      <w:r w:rsidR="00D13B33">
        <w:rPr>
          <w:rFonts w:ascii="Georgia" w:hAnsi="Georgia" w:cs="Times New Roman"/>
          <w:color w:val="222222"/>
          <w:lang w:val="en-US"/>
        </w:rPr>
        <w:t xml:space="preserve"> </w:t>
      </w:r>
      <w:r w:rsidR="00D13B33">
        <w:rPr>
          <w:rFonts w:ascii="Georgia" w:hAnsi="Georgia" w:cs="Times New Roman"/>
          <w:color w:val="222222"/>
          <w:lang w:val="en-US"/>
        </w:rPr>
        <w:fldChar w:fldCharType="begin" w:fldLock="1"/>
      </w:r>
      <w:r w:rsidR="00A7114B">
        <w:rPr>
          <w:rFonts w:ascii="Georgia" w:hAnsi="Georgia" w:cs="Times New Roman"/>
          <w:color w:val="222222"/>
          <w:lang w:val="en-US"/>
        </w:rPr>
        <w:instrText>ADDIN CSL_CITATION {"citationItems":[{"id":"ITEM-1","itemData":{"DOI":"10.1007/s10649-007-9088-y","ISSN":"00131954","abstract":"This study was designed to compare the effects of Team Assisted Individualization (TAI) and Student Teams-Achievement Divisions (STAD) on fourth grade students' academic achievement in and attitudes towards mathematics. Seven classes of a school were randomly selected for this experimental study. Two of these were given instruction through TAI; two through STAD, and the remaining three were treated as a control group. For the purpose of the data analysis regarding academic achievement, the 3</w:instrText>
      </w:r>
      <w:r w:rsidR="00A7114B">
        <w:rPr>
          <w:rFonts w:ascii="Cambria Math" w:hAnsi="Cambria Math" w:cs="Cambria Math"/>
          <w:color w:val="222222"/>
          <w:lang w:val="en-US"/>
        </w:rPr>
        <w:instrText>∈</w:instrText>
      </w:r>
      <w:r w:rsidR="00A7114B">
        <w:rPr>
          <w:rFonts w:ascii="Georgia" w:hAnsi="Georgia" w:cs="Times New Roman"/>
          <w:color w:val="222222"/>
          <w:lang w:val="en-US"/>
        </w:rPr>
        <w:instrText>X</w:instrText>
      </w:r>
      <w:r w:rsidR="00A7114B">
        <w:rPr>
          <w:rFonts w:ascii="Cambria Math" w:hAnsi="Cambria Math" w:cs="Cambria Math"/>
          <w:color w:val="222222"/>
          <w:lang w:val="en-US"/>
        </w:rPr>
        <w:instrText>∈</w:instrText>
      </w:r>
      <w:r w:rsidR="00A7114B">
        <w:rPr>
          <w:rFonts w:ascii="Georgia" w:hAnsi="Georgia" w:cs="Times New Roman"/>
          <w:color w:val="222222"/>
          <w:lang w:val="en-US"/>
        </w:rPr>
        <w:instrText>1 covariance analysis was used to compare the groups. As a result of this comparison, both the TAI and STAD methods were found to have positive effects (d</w:instrText>
      </w:r>
      <w:r w:rsidR="00A7114B">
        <w:rPr>
          <w:rFonts w:ascii="Cambria Math" w:hAnsi="Cambria Math" w:cs="Cambria Math"/>
          <w:color w:val="222222"/>
          <w:lang w:val="en-US"/>
        </w:rPr>
        <w:instrText>∈</w:instrText>
      </w:r>
      <w:r w:rsidR="00A7114B">
        <w:rPr>
          <w:rFonts w:ascii="Georgia" w:hAnsi="Georgia" w:cs="Times New Roman"/>
          <w:color w:val="222222"/>
          <w:lang w:val="en-US"/>
        </w:rPr>
        <w:instrText>=</w:instrText>
      </w:r>
      <w:r w:rsidR="00A7114B">
        <w:rPr>
          <w:rFonts w:ascii="Cambria Math" w:hAnsi="Cambria Math" w:cs="Cambria Math"/>
          <w:color w:val="222222"/>
          <w:lang w:val="en-US"/>
        </w:rPr>
        <w:instrText>∈</w:instrText>
      </w:r>
      <w:r w:rsidR="00A7114B">
        <w:rPr>
          <w:rFonts w:ascii="Georgia" w:hAnsi="Georgia" w:cs="Times New Roman"/>
          <w:color w:val="222222"/>
          <w:lang w:val="en-US"/>
        </w:rPr>
        <w:instrText>1.003 for TAI and d</w:instrText>
      </w:r>
      <w:r w:rsidR="00A7114B">
        <w:rPr>
          <w:rFonts w:ascii="Cambria Math" w:hAnsi="Cambria Math" w:cs="Cambria Math"/>
          <w:color w:val="222222"/>
          <w:lang w:val="en-US"/>
        </w:rPr>
        <w:instrText>∈</w:instrText>
      </w:r>
      <w:r w:rsidR="00A7114B">
        <w:rPr>
          <w:rFonts w:ascii="Georgia" w:hAnsi="Georgia" w:cs="Times New Roman"/>
          <w:color w:val="222222"/>
          <w:lang w:val="en-US"/>
        </w:rPr>
        <w:instrText>=</w:instrText>
      </w:r>
      <w:r w:rsidR="00A7114B">
        <w:rPr>
          <w:rFonts w:ascii="Cambria Math" w:hAnsi="Cambria Math" w:cs="Cambria Math"/>
          <w:color w:val="222222"/>
          <w:lang w:val="en-US"/>
        </w:rPr>
        <w:instrText>∈</w:instrText>
      </w:r>
      <w:r w:rsidR="00A7114B">
        <w:rPr>
          <w:rFonts w:ascii="Georgia" w:hAnsi="Georgia" w:cs="Times New Roman"/>
          <w:color w:val="222222"/>
          <w:lang w:val="en-US"/>
        </w:rPr>
        <w:instrText>0.40 for STAD) on students' academic achievement in mathematics. The pairwise comparisons showed that the TAI method had a more significant effect than the STAD method. The scores for the attitude towards mathematics were analyzed by using non-parametric statistics. As a result of this analysis, no significant difference was observed regarding students' attitudes towards mathematics. © 2007 Springer Science+Business Media B.V.","author":[{"dropping-particle":"","family":"Tarim","given":"Kamuran","non-dropping-particle":"","parse-names":false,"suffix":""},{"dropping-particle":"","family":"Akdeniz","given":"Fikri","non-dropping-particle":"","parse-names":false,"suffix":""}],"container-title":"Educational Studies in Mathematics","id":"ITEM-1","issue":"1","issued":{"date-parts":[["2008"]]},"page":"77-91","title":"The effects of cooperative learning on Turkish elementary students' mathematics achievement and attitude towards mathematics using TAI and STAD methods","type":"article-journal","volume":"67"},"uris":["http://www.mendeley.com/documents/?uuid=d622f3f1-6741-4510-b0a1-0e9b9fb21465"]}],"mendeley":{"formattedCitation":"(Tarim &amp; Akdeniz, 2008)","plainTextFormattedCitation":"(Tarim &amp; Akdeniz, 2008)","previouslyFormattedCitation":"(Tarim &amp; Akdeniz, 2008)"},"properties":{"noteIndex":0},"schema":"https://github.com/citation-style-language/schema/raw/master/csl-citation.json"}</w:instrText>
      </w:r>
      <w:r w:rsidR="00D13B33">
        <w:rPr>
          <w:rFonts w:ascii="Georgia" w:hAnsi="Georgia" w:cs="Times New Roman"/>
          <w:color w:val="222222"/>
          <w:lang w:val="en-US"/>
        </w:rPr>
        <w:fldChar w:fldCharType="separate"/>
      </w:r>
      <w:r w:rsidR="00D13B33" w:rsidRPr="00D13B33">
        <w:rPr>
          <w:rFonts w:ascii="Georgia" w:hAnsi="Georgia" w:cs="Times New Roman"/>
          <w:noProof/>
          <w:color w:val="222222"/>
          <w:lang w:val="en-US"/>
        </w:rPr>
        <w:t>(Tarim &amp; Akdeniz, 2008)</w:t>
      </w:r>
      <w:r w:rsidR="00D13B33">
        <w:rPr>
          <w:rFonts w:ascii="Georgia" w:hAnsi="Georgia" w:cs="Times New Roman"/>
          <w:color w:val="222222"/>
          <w:lang w:val="en-US"/>
        </w:rPr>
        <w:fldChar w:fldCharType="end"/>
      </w:r>
      <w:r w:rsidRPr="009B60A8">
        <w:rPr>
          <w:rFonts w:ascii="Georgia" w:hAnsi="Georgia" w:cs="Times New Roman"/>
          <w:color w:val="222222"/>
          <w:lang w:val="en-US"/>
        </w:rPr>
        <w:t xml:space="preserve">. Konsep sentral </w:t>
      </w:r>
      <w:r w:rsidR="0058628C">
        <w:rPr>
          <w:rFonts w:ascii="Georgia" w:hAnsi="Georgia" w:cs="Times New Roman"/>
          <w:color w:val="222222"/>
          <w:lang w:val="en-US"/>
        </w:rPr>
        <w:t>model ini adalah kerjasama tim</w:t>
      </w:r>
      <w:r w:rsidRPr="009B60A8">
        <w:rPr>
          <w:rFonts w:ascii="Georgia" w:hAnsi="Georgia" w:cs="Times New Roman"/>
          <w:color w:val="222222"/>
          <w:lang w:val="en-US"/>
        </w:rPr>
        <w:t>, akuntabilitas individu, keterampilan sosial, interaksi t</w:t>
      </w:r>
      <w:r w:rsidR="0058628C">
        <w:rPr>
          <w:rFonts w:ascii="Georgia" w:hAnsi="Georgia" w:cs="Times New Roman"/>
          <w:color w:val="222222"/>
          <w:lang w:val="en-US"/>
        </w:rPr>
        <w:t xml:space="preserve">atap muka, pemrosesan kelompok, </w:t>
      </w:r>
      <w:r w:rsidRPr="009B60A8">
        <w:rPr>
          <w:rFonts w:ascii="Georgia" w:hAnsi="Georgia" w:cs="Times New Roman"/>
          <w:color w:val="222222"/>
          <w:lang w:val="en-US"/>
        </w:rPr>
        <w:t xml:space="preserve">dan </w:t>
      </w:r>
      <w:r w:rsidR="0058628C">
        <w:rPr>
          <w:rFonts w:ascii="Georgia" w:hAnsi="Georgia" w:cs="Times New Roman"/>
          <w:color w:val="222222"/>
          <w:lang w:val="en-US"/>
        </w:rPr>
        <w:t xml:space="preserve">setiap siswa memiiki </w:t>
      </w:r>
      <w:r w:rsidR="00187664">
        <w:rPr>
          <w:rFonts w:ascii="Georgia" w:hAnsi="Georgia" w:cs="Times New Roman"/>
          <w:color w:val="222222"/>
          <w:lang w:val="en-US"/>
        </w:rPr>
        <w:t xml:space="preserve">kesempatan yang sama </w:t>
      </w:r>
      <w:r w:rsidR="00161610" w:rsidRPr="00161610">
        <w:rPr>
          <w:rFonts w:ascii="Georgia" w:hAnsi="Georgia" w:cs="Times New Roman"/>
          <w:color w:val="222222"/>
          <w:lang w:val="en-US"/>
        </w:rPr>
        <w:t>(</w:t>
      </w:r>
      <w:r w:rsidR="00161610" w:rsidRPr="00161610">
        <w:rPr>
          <w:rFonts w:ascii="Georgia" w:hAnsi="Georgia" w:cs="Times New Roman"/>
        </w:rPr>
        <w:t>Johnson</w:t>
      </w:r>
      <w:r w:rsidR="00161610" w:rsidRPr="00161610">
        <w:rPr>
          <w:rFonts w:ascii="Georgia" w:hAnsi="Georgia" w:cs="Times New Roman"/>
          <w:lang w:val="en-US"/>
        </w:rPr>
        <w:t xml:space="preserve"> &amp; </w:t>
      </w:r>
      <w:r w:rsidR="00161610" w:rsidRPr="00161610">
        <w:rPr>
          <w:rFonts w:ascii="Georgia" w:hAnsi="Georgia" w:cs="Times New Roman"/>
        </w:rPr>
        <w:t>Johnson</w:t>
      </w:r>
      <w:r w:rsidR="00161610" w:rsidRPr="00161610">
        <w:rPr>
          <w:rFonts w:ascii="Georgia" w:hAnsi="Georgia" w:cs="Times New Roman"/>
          <w:lang w:val="en-US"/>
        </w:rPr>
        <w:t>, 1994)</w:t>
      </w:r>
      <w:r w:rsidR="00015F53">
        <w:rPr>
          <w:rFonts w:ascii="Georgia" w:hAnsi="Georgia" w:cs="Times New Roman"/>
          <w:lang w:val="en-US"/>
        </w:rPr>
        <w:t xml:space="preserve">; </w:t>
      </w:r>
      <w:r w:rsidR="00015F53">
        <w:rPr>
          <w:rFonts w:ascii="Georgia" w:hAnsi="Georgia" w:cs="Times New Roman"/>
          <w:lang w:val="en-US"/>
        </w:rPr>
        <w:fldChar w:fldCharType="begin" w:fldLock="1"/>
      </w:r>
      <w:r w:rsidR="000408CE">
        <w:rPr>
          <w:rFonts w:ascii="Georgia" w:hAnsi="Georgia" w:cs="Times New Roman"/>
          <w:lang w:val="en-US"/>
        </w:rPr>
        <w:instrText>ADDIN CSL_CITATION {"citationItems":[{"id":"ITEM-1","itemData":{"DOI":"10.1080/09718923.2011.11892895","ISSN":"0971-8923","abstract":"Cooperative learning, as an instructional methodology provides opportunities for students to develop skills in group interactions and in working with others that are needed in today's world. The purpose of this study was to determine the effects of the cooperative learning technique of Teams-Games-Tournaments (TGT) on the achievement, retention, and attitudes toward TGT as a teaching method. A pretest-posttest, quasi-experimental design was used. Data collection instruments, an achievement test (Test of Economic Literacy), an attitude toward TGT and a retention test were used for the purpose of this study. Results indicated that the achievement test score for the TGT group was 52.99, while the Lecture control group was 50.13. This implies that the TGT group performed better in the achievement test compare to the control group. The retention test for both groups were very similar. The treatment group indicated positive attitude towards TGT as a teaching strategy for economics education. Adapted from the source document.","author":[{"dropping-particle":"van","family":"Wyk","given":"Micheal M.","non-dropping-particle":"","parse-names":false,"suffix":""}],"container-title":"Journal of Social Sciences","id":"ITEM-1","issue":"3","issued":{"date-parts":[["2011"]]},"page":"183-193","title":"The Effects of Teams-Games-Tournaments on Achievement, Retention, and Attitudes of Economics Education Students","type":"article-journal","volume":"26"},"uris":["http://www.mendeley.com/documents/?uuid=8f884406-7be8-445b-834a-6e577c501dff"]}],"mendeley":{"formattedCitation":"(Wyk, 2011)","plainTextFormattedCitation":"(Wyk, 2011)","previouslyFormattedCitation":"(Wyk, 2011)"},"properties":{"noteIndex":0},"schema":"https://github.com/citation-style-language/schema/raw/master/csl-citation.json"}</w:instrText>
      </w:r>
      <w:r w:rsidR="00015F53">
        <w:rPr>
          <w:rFonts w:ascii="Georgia" w:hAnsi="Georgia" w:cs="Times New Roman"/>
          <w:lang w:val="en-US"/>
        </w:rPr>
        <w:fldChar w:fldCharType="separate"/>
      </w:r>
      <w:r w:rsidR="00015F53" w:rsidRPr="00015F53">
        <w:rPr>
          <w:rFonts w:ascii="Georgia" w:hAnsi="Georgia" w:cs="Times New Roman"/>
          <w:noProof/>
          <w:lang w:val="en-US"/>
        </w:rPr>
        <w:t>(Wyk, 2011)</w:t>
      </w:r>
      <w:r w:rsidR="00015F53">
        <w:rPr>
          <w:rFonts w:ascii="Georgia" w:hAnsi="Georgia" w:cs="Times New Roman"/>
          <w:lang w:val="en-US"/>
        </w:rPr>
        <w:fldChar w:fldCharType="end"/>
      </w:r>
      <w:r w:rsidRPr="009B60A8">
        <w:rPr>
          <w:rFonts w:ascii="Georgia" w:hAnsi="Georgia" w:cs="Times New Roman"/>
          <w:color w:val="222222"/>
          <w:lang w:val="en-US"/>
        </w:rPr>
        <w:t xml:space="preserve">, artinya setiap individu dalam kelompok harus </w:t>
      </w:r>
      <w:r w:rsidR="00161610">
        <w:rPr>
          <w:rFonts w:ascii="Georgia" w:hAnsi="Georgia" w:cs="Times New Roman"/>
          <w:color w:val="222222"/>
          <w:lang w:val="en-US"/>
        </w:rPr>
        <w:t xml:space="preserve"> </w:t>
      </w:r>
      <w:r w:rsidRPr="009B60A8">
        <w:rPr>
          <w:rFonts w:ascii="Georgia" w:hAnsi="Georgia" w:cs="Times New Roman"/>
          <w:color w:val="222222"/>
          <w:lang w:val="en-US"/>
        </w:rPr>
        <w:t xml:space="preserve">kontribusi dan berusaha untuk berhasil. Pembelajaran kooperatif menekankan pada pembentukan </w:t>
      </w:r>
      <w:r w:rsidR="00161610">
        <w:rPr>
          <w:rFonts w:ascii="Georgia" w:hAnsi="Georgia" w:cs="Times New Roman"/>
          <w:color w:val="222222"/>
          <w:lang w:val="en-US"/>
        </w:rPr>
        <w:t xml:space="preserve">kelompok kecil </w:t>
      </w:r>
      <w:r w:rsidRPr="009B60A8">
        <w:rPr>
          <w:rFonts w:ascii="Georgia" w:hAnsi="Georgia" w:cs="Times New Roman"/>
          <w:color w:val="222222"/>
          <w:lang w:val="en-US"/>
        </w:rPr>
        <w:t xml:space="preserve">dengan kemampuan dan latar belakang </w:t>
      </w:r>
      <w:r w:rsidR="00161610">
        <w:rPr>
          <w:rFonts w:ascii="Georgia" w:hAnsi="Georgia" w:cs="Times New Roman"/>
          <w:color w:val="222222"/>
          <w:lang w:val="en-US"/>
        </w:rPr>
        <w:t xml:space="preserve">siswa </w:t>
      </w:r>
      <w:r w:rsidRPr="009B60A8">
        <w:rPr>
          <w:rFonts w:ascii="Georgia" w:hAnsi="Georgia" w:cs="Times New Roman"/>
          <w:color w:val="222222"/>
          <w:lang w:val="en-US"/>
        </w:rPr>
        <w:t>yang berbeda, yang mengejar kinerja individu dan kelompok melalui komunikas</w:t>
      </w:r>
      <w:r w:rsidR="00161610">
        <w:rPr>
          <w:rFonts w:ascii="Georgia" w:hAnsi="Georgia" w:cs="Times New Roman"/>
          <w:color w:val="222222"/>
          <w:lang w:val="en-US"/>
        </w:rPr>
        <w:t xml:space="preserve">i, kerja tim, dan menjaga kepercayaan </w:t>
      </w:r>
      <w:r w:rsidR="00161610">
        <w:rPr>
          <w:rFonts w:ascii="Georgia" w:hAnsi="Georgia" w:cs="Times New Roman"/>
          <w:color w:val="222222"/>
          <w:lang w:val="en-US"/>
        </w:rPr>
        <w:fldChar w:fldCharType="begin" w:fldLock="1"/>
      </w:r>
      <w:r w:rsidR="00015F53">
        <w:rPr>
          <w:rFonts w:ascii="Georgia" w:hAnsi="Georgia" w:cs="Times New Roman"/>
          <w:color w:val="222222"/>
          <w:lang w:val="en-US"/>
        </w:rPr>
        <w:instrText>ADDIN CSL_CITATION {"citationItems":[{"id":"ITEM-1","itemData":{"DOI":"10.1123/jtpe.22.1.69","ISSN":"02735024","abstract":"The purpose of this study was to explore (a) a teacher's perspective of the implementation of cooperative learning in an elementary physical education program, and (b) the students' responses to the implementation into their own physical education classes. Data collection included interviews with a physical education teacher and students in two mixed third- and fourth-grade classes and two fourth-grade classes, nonparticipant observation, fieldnotes, a teacher journal, and documents. Inductive analysis and constant comparison methods were used to analyze and organize the data throughout the research process. The findings revealed that the teacher and students held similar perceptions of cooperative learning. This was evident from the categories that emerged from the data: goals of the lessons, student roles, accountability, communication skills, working together, and practice time. This study demonstrated that the cooperative learning instructional format holds much promise for physical education, but that its implementation will likely not be smooth or trouble free.","author":[{"dropping-particle":"","family":"Dyson","given":"Ben","non-dropping-particle":"","parse-names":false,"suffix":""}],"container-title":"Journal of Teaching in Physical Education","id":"ITEM-1","issue":"1","issued":{"date-parts":[["2002"]]},"page":"69-85","title":"The implementation of cooperative learning in an elementary physical education program","type":"article-journal","volume":"22"},"uris":["http://www.mendeley.com/documents/?uuid=c57ca758-5ef9-4b4d-a331-bdcafd591419"]}],"mendeley":{"formattedCitation":"(Dyson, 2002)","plainTextFormattedCitation":"(Dyson, 2002)","previouslyFormattedCitation":"(Dyson, 2002)"},"properties":{"noteIndex":0},"schema":"https://github.com/citation-style-language/schema/raw/master/csl-citation.json"}</w:instrText>
      </w:r>
      <w:r w:rsidR="00161610">
        <w:rPr>
          <w:rFonts w:ascii="Georgia" w:hAnsi="Georgia" w:cs="Times New Roman"/>
          <w:color w:val="222222"/>
          <w:lang w:val="en-US"/>
        </w:rPr>
        <w:fldChar w:fldCharType="separate"/>
      </w:r>
      <w:r w:rsidR="00161610" w:rsidRPr="00161610">
        <w:rPr>
          <w:rFonts w:ascii="Georgia" w:hAnsi="Georgia" w:cs="Times New Roman"/>
          <w:noProof/>
          <w:color w:val="222222"/>
          <w:lang w:val="en-US"/>
        </w:rPr>
        <w:t>(Dyson, 2002)</w:t>
      </w:r>
      <w:r w:rsidR="00161610">
        <w:rPr>
          <w:rFonts w:ascii="Georgia" w:hAnsi="Georgia" w:cs="Times New Roman"/>
          <w:color w:val="222222"/>
          <w:lang w:val="en-US"/>
        </w:rPr>
        <w:fldChar w:fldCharType="end"/>
      </w:r>
      <w:r w:rsidRPr="009B60A8">
        <w:rPr>
          <w:rFonts w:ascii="Georgia" w:hAnsi="Georgia" w:cs="Times New Roman"/>
          <w:color w:val="222222"/>
          <w:lang w:val="en-US"/>
        </w:rPr>
        <w:t>.</w:t>
      </w:r>
      <w:r w:rsidR="00EC1308">
        <w:rPr>
          <w:rFonts w:ascii="Georgia" w:hAnsi="Georgia" w:cs="Times New Roman"/>
          <w:color w:val="222222"/>
          <w:lang w:val="en-US"/>
        </w:rPr>
        <w:t xml:space="preserve"> Beberapa hasil terdahulu merekomendasikan bahwa p</w:t>
      </w:r>
      <w:r w:rsidR="00EC1308" w:rsidRPr="00EC1308">
        <w:rPr>
          <w:rFonts w:ascii="Georgia" w:hAnsi="Georgia" w:cs="Times New Roman"/>
          <w:color w:val="222222"/>
          <w:lang w:val="en-US"/>
        </w:rPr>
        <w:t xml:space="preserve">embelajaran kooperatif </w:t>
      </w:r>
      <w:r w:rsidR="00EC1308">
        <w:rPr>
          <w:rFonts w:ascii="Georgia" w:hAnsi="Georgia" w:cs="Times New Roman"/>
          <w:color w:val="222222"/>
          <w:lang w:val="en-US"/>
        </w:rPr>
        <w:t xml:space="preserve">ampuh dalam </w:t>
      </w:r>
      <w:r w:rsidR="00EC1308" w:rsidRPr="00EC1308">
        <w:rPr>
          <w:rFonts w:ascii="Georgia" w:hAnsi="Georgia" w:cs="Times New Roman"/>
          <w:color w:val="222222"/>
          <w:lang w:val="en-US"/>
        </w:rPr>
        <w:t xml:space="preserve">meningkatkan berbagai keterampilan </w:t>
      </w:r>
      <w:r w:rsidR="00EC1308">
        <w:rPr>
          <w:rFonts w:ascii="Georgia" w:hAnsi="Georgia" w:cs="Times New Roman"/>
          <w:color w:val="222222"/>
          <w:lang w:val="en-US"/>
        </w:rPr>
        <w:t>belajar</w:t>
      </w:r>
      <w:r w:rsidR="000408CE">
        <w:rPr>
          <w:rFonts w:ascii="Georgia" w:hAnsi="Georgia" w:cs="Times New Roman"/>
          <w:color w:val="222222"/>
          <w:lang w:val="en-US"/>
        </w:rPr>
        <w:t xml:space="preserve"> </w:t>
      </w:r>
      <w:r w:rsidR="000408CE">
        <w:rPr>
          <w:rFonts w:ascii="Georgia" w:hAnsi="Georgia" w:cs="Times New Roman"/>
          <w:color w:val="222222"/>
          <w:lang w:val="en-US"/>
        </w:rPr>
        <w:fldChar w:fldCharType="begin" w:fldLock="1"/>
      </w:r>
      <w:r w:rsidR="00094FCA">
        <w:rPr>
          <w:rFonts w:ascii="Georgia" w:hAnsi="Georgia" w:cs="Times New Roman"/>
          <w:color w:val="222222"/>
          <w:lang w:val="en-US"/>
        </w:rPr>
        <w:instrText>ADDIN CSL_CITATION {"citationItems":[{"id":"ITEM-1","itemData":{"DOI":"10.1080/00131911.2013.853169","ISSN":"00131911","abstract":"This study was aimed at investigating the impact of cooperative learning on the motivation of tertiary English learners. Participants were from two randomly assigned classes at a university in the north of China. A pre-test-post-test control group design was employed to compare the impact of the cooperative learning approach with that of traditional whole-class instruction on six aspects of learning motivation: intrinsic motivation, integrated regulation, identified regulation, introjected regulation, external regulation and amotivation. Findings suggested significant differences in favour of cooperative learning in improving intrinsic motivation, but no differences were found on other aspects of motivation. © 2013 © 2013 Educational Review.","author":[{"dropping-particle":"","family":"Ning","given":"Huiping","non-dropping-particle":"","parse-names":false,"suffix":""},{"dropping-particle":"","family":"Hornby","given":"Garry","non-dropping-particle":"","parse-names":false,"suffix":""}],"container-title":"Educational Review","id":"ITEM-1","issue":"1","issued":{"date-parts":[["2014"]]},"page":"108-124","title":"The impact of cooperative learning on tertiary EFL learners' motivation","type":"article-journal","volume":"66"},"uris":["http://www.mendeley.com/documents/?uuid=4274e6cc-a59c-42a4-8054-317f89198e7b"]}],"mendeley":{"formattedCitation":"(Ning &amp; Hornby, 2014)","manualFormatting":"(Ning &amp; Hornby, 2014","plainTextFormattedCitation":"(Ning &amp; Hornby, 2014)","previouslyFormattedCitation":"(Ning &amp; Hornby, 2014)"},"properties":{"noteIndex":0},"schema":"https://github.com/citation-style-language/schema/raw/master/csl-citation.json"}</w:instrText>
      </w:r>
      <w:r w:rsidR="000408CE">
        <w:rPr>
          <w:rFonts w:ascii="Georgia" w:hAnsi="Georgia" w:cs="Times New Roman"/>
          <w:color w:val="222222"/>
          <w:lang w:val="en-US"/>
        </w:rPr>
        <w:fldChar w:fldCharType="separate"/>
      </w:r>
      <w:r w:rsidR="000408CE" w:rsidRPr="000408CE">
        <w:rPr>
          <w:rFonts w:ascii="Georgia" w:hAnsi="Georgia" w:cs="Times New Roman"/>
          <w:noProof/>
          <w:color w:val="222222"/>
          <w:lang w:val="en-US"/>
        </w:rPr>
        <w:t>(Ning &amp; Hornby, 2014</w:t>
      </w:r>
      <w:r w:rsidR="000408CE">
        <w:rPr>
          <w:rFonts w:ascii="Georgia" w:hAnsi="Georgia" w:cs="Times New Roman"/>
          <w:color w:val="222222"/>
          <w:lang w:val="en-US"/>
        </w:rPr>
        <w:fldChar w:fldCharType="end"/>
      </w:r>
      <w:r w:rsidR="00094FCA">
        <w:rPr>
          <w:rFonts w:ascii="Georgia" w:hAnsi="Georgia" w:cs="Times New Roman"/>
          <w:color w:val="222222"/>
          <w:lang w:val="en-US"/>
        </w:rPr>
        <w:t xml:space="preserve">; </w:t>
      </w:r>
      <w:r w:rsidR="00094FCA">
        <w:rPr>
          <w:rFonts w:ascii="Georgia" w:hAnsi="Georgia" w:cs="Times New Roman"/>
          <w:color w:val="222222"/>
          <w:lang w:val="en-US"/>
        </w:rPr>
        <w:fldChar w:fldCharType="begin" w:fldLock="1"/>
      </w:r>
      <w:r w:rsidR="00803B26">
        <w:rPr>
          <w:rFonts w:ascii="Georgia" w:hAnsi="Georgia" w:cs="Times New Roman"/>
          <w:color w:val="222222"/>
          <w:lang w:val="en-US"/>
        </w:rPr>
        <w:instrText>ADDIN CSL_CITATION {"citationItems":[{"id":"ITEM-1","itemData":{"DOI":"10.1177/1356336X20904075","ISSN":"17412749","abstract":"Cooperative learning can be considered as an umbrella term for a number of classroom practices. In this paper we consider the educative nature of cooperative learning in physical education, and we have challenged ourselves to examine how cooperative learning can enhance the education of young people. We do this by revisiting cooperative learning’s Deweyan foundations and hold that such a move would be a constructive way forward for cooperative learning in physical education. We argue that there is a risk, in not going back to its educational roots, that cooperative learning might just become another way to teach, for example, games or sports, and that it currently puts too much emphasis on destination rather than journey. We suggest that using Dewey’s idea of education and experience would add: a situational element, a directional element, a temporal element, a communal element and an educative element. In this way, the use of cooperative learning in physical education can move away from exclusively developing students’ skills, towards an open-ended process of becoming where a diversity of students transform and are being transformed by one another.","author":[{"dropping-particle":"","family":"Casey","given":"Ashley","non-dropping-particle":"","parse-names":false,"suffix":""},{"dropping-particle":"","family":"Quennerstedt","given":"Mikael","non-dropping-particle":"","parse-names":false,"suffix":""}],"container-title":"European Physical Education Review","id":"ITEM-1","issue":"4","issued":{"date-parts":[["2020"]]},"page":"1023-1037","title":"Cooperative learning in physical education encountering Dewey’s educational theory","type":"article-journal","volume":"26"},"uris":["http://www.mendeley.com/documents/?uuid=16938ded-5dad-457f-b838-d2d0d91ec1c4"]}],"mendeley":{"formattedCitation":"(Casey &amp; Quennerstedt, 2020)","manualFormatting":"Casey &amp; Quennerstedt, 2020)","plainTextFormattedCitation":"(Casey &amp; Quennerstedt, 2020)","previouslyFormattedCitation":"(Casey &amp; Quennerstedt, 2020)"},"properties":{"noteIndex":0},"schema":"https://github.com/citation-style-language/schema/raw/master/csl-citation.json"}</w:instrText>
      </w:r>
      <w:r w:rsidR="00094FCA">
        <w:rPr>
          <w:rFonts w:ascii="Georgia" w:hAnsi="Georgia" w:cs="Times New Roman"/>
          <w:color w:val="222222"/>
          <w:lang w:val="en-US"/>
        </w:rPr>
        <w:fldChar w:fldCharType="separate"/>
      </w:r>
      <w:r w:rsidR="00094FCA" w:rsidRPr="00094FCA">
        <w:rPr>
          <w:rFonts w:ascii="Georgia" w:hAnsi="Georgia" w:cs="Times New Roman"/>
          <w:noProof/>
          <w:color w:val="222222"/>
          <w:lang w:val="en-US"/>
        </w:rPr>
        <w:t>Casey &amp; Quennerstedt, 2020)</w:t>
      </w:r>
      <w:r w:rsidR="00094FCA">
        <w:rPr>
          <w:rFonts w:ascii="Georgia" w:hAnsi="Georgia" w:cs="Times New Roman"/>
          <w:color w:val="222222"/>
          <w:lang w:val="en-US"/>
        </w:rPr>
        <w:fldChar w:fldCharType="end"/>
      </w:r>
      <w:r w:rsidR="00803B26">
        <w:rPr>
          <w:rFonts w:ascii="Georgia" w:hAnsi="Georgia" w:cs="Times New Roman"/>
          <w:color w:val="222222"/>
          <w:lang w:val="en-US"/>
        </w:rPr>
        <w:t xml:space="preserve">, keterampilan motorik </w:t>
      </w:r>
      <w:r w:rsidR="00803B26">
        <w:rPr>
          <w:rFonts w:ascii="Georgia" w:hAnsi="Georgia" w:cs="Times New Roman"/>
          <w:color w:val="222222"/>
          <w:lang w:val="en-US"/>
        </w:rPr>
        <w:fldChar w:fldCharType="begin" w:fldLock="1"/>
      </w:r>
      <w:r w:rsidR="00EB7063">
        <w:rPr>
          <w:rFonts w:ascii="Georgia" w:hAnsi="Georgia" w:cs="Times New Roman"/>
          <w:color w:val="222222"/>
          <w:lang w:val="en-US"/>
        </w:rPr>
        <w:instrText>ADDIN CSL_CITATION {"citationItems":[{"id":"ITEM-1","itemData":{"DOI":"10.1080/02701367.2020.1719276","ISSN":"21683824","PMID":"32023176","abstract":"Purpose: A systematic review of the research conducted on Cooperative Learning in Physical Education in the last 5 years (2014–2019). Method: Seven databases were used to select those articles that included information on the implementation of Cooperative Learning in the different educational stages. After the exclusion criteria, 15 articles were fully assessed based on eight criteria: (1) year and author; (2) country; (3) number of participants, educational level, and duration of implementation; (4) type of research; (5) curricular content; (6) purpose of the research; (7) most relevant results; and (8) learning environment. Results: Results showed how research focused more on secondary education, mainly in short-term interventions. Most studies used qualitative and/or mixed methods, and dealt evenly with sports, motor skills, and physical abilities, leaving body expression underrepresented. Regarding the goals of the studies, social learning was the most frequently assessed, focusing on motivation, group climate, and teacher–student interaction. Criticisms regarding the shortness of the experiences and their fragmentation can still be considered valid. Conclusion: This review can help researchers and practitioners conduct Cooperative Learning intervention programs in primary and secondary Physical Education. They must be rigorous when they claim that they implement this pedagogical model in schools.","author":[{"dropping-particle":"","family":"Bores-García","given":"Daniel","non-dropping-particle":"","parse-names":false,"suffix":""},{"dropping-particle":"","family":"Hortigüela-Alcalá","given":"David","non-dropping-particle":"","parse-names":false,"suffix":""},{"dropping-particle":"","family":"Fernandez-Rio","given":"Francisco Javier","non-dropping-particle":"","parse-names":false,"suffix":""},{"dropping-particle":"","family":"González-Calvo","given":"Gustavo","non-dropping-particle":"","parse-names":false,"suffix":""},{"dropping-particle":"","family":"Barba-Martín","given":"Raúl","non-dropping-particle":"","parse-names":false,"suffix":""}],"container-title":"Research Quarterly for Exercise and Sport","id":"ITEM-1","issue":"1","issued":{"date-parts":[["2021"]]},"page":"146-155","publisher":"Routledge","title":"Research on Cooperative Learning in Physical Education: Systematic Review of the Last Five Years","type":"article-journal","volume":"92"},"uris":["http://www.mendeley.com/documents/?uuid=20fc58ab-8258-4ba1-b220-0ba033573f59"]}],"mendeley":{"formattedCitation":"(Bores-García et al., 2021)","plainTextFormattedCitation":"(Bores-García et al., 2021)","previouslyFormattedCitation":"(Bores-García et al., 2021)"},"properties":{"noteIndex":0},"schema":"https://github.com/citation-style-language/schema/raw/master/csl-citation.json"}</w:instrText>
      </w:r>
      <w:r w:rsidR="00803B26">
        <w:rPr>
          <w:rFonts w:ascii="Georgia" w:hAnsi="Georgia" w:cs="Times New Roman"/>
          <w:color w:val="222222"/>
          <w:lang w:val="en-US"/>
        </w:rPr>
        <w:fldChar w:fldCharType="separate"/>
      </w:r>
      <w:r w:rsidR="00803B26" w:rsidRPr="00803B26">
        <w:rPr>
          <w:rFonts w:ascii="Georgia" w:hAnsi="Georgia" w:cs="Times New Roman"/>
          <w:noProof/>
          <w:color w:val="222222"/>
          <w:lang w:val="en-US"/>
        </w:rPr>
        <w:t>(Bores-García et al., 2021)</w:t>
      </w:r>
      <w:r w:rsidR="00803B26">
        <w:rPr>
          <w:rFonts w:ascii="Georgia" w:hAnsi="Georgia" w:cs="Times New Roman"/>
          <w:color w:val="222222"/>
          <w:lang w:val="en-US"/>
        </w:rPr>
        <w:fldChar w:fldCharType="end"/>
      </w:r>
      <w:r w:rsidR="00EC1308" w:rsidRPr="00EC1308">
        <w:rPr>
          <w:rFonts w:ascii="Georgia" w:hAnsi="Georgia" w:cs="Times New Roman"/>
          <w:color w:val="222222"/>
          <w:lang w:val="en-US"/>
        </w:rPr>
        <w:t>, h</w:t>
      </w:r>
      <w:r w:rsidR="00EB7063">
        <w:rPr>
          <w:rFonts w:ascii="Georgia" w:hAnsi="Georgia" w:cs="Times New Roman"/>
          <w:color w:val="222222"/>
          <w:lang w:val="en-US"/>
        </w:rPr>
        <w:t xml:space="preserve">asil belajar </w:t>
      </w:r>
      <w:r w:rsidR="00EB7063">
        <w:rPr>
          <w:rFonts w:ascii="Georgia" w:hAnsi="Georgia" w:cs="Times New Roman"/>
          <w:color w:val="222222"/>
          <w:lang w:val="en-US"/>
        </w:rPr>
        <w:fldChar w:fldCharType="begin" w:fldLock="1"/>
      </w:r>
      <w:r w:rsidR="00764D06">
        <w:rPr>
          <w:rFonts w:ascii="Georgia" w:hAnsi="Georgia" w:cs="Times New Roman"/>
          <w:color w:val="222222"/>
          <w:lang w:val="en-US"/>
        </w:rPr>
        <w:instrText>ADDIN CSL_CITATION {"citationItems":[{"id":"ITEM-1","itemData":{"DOI":"10.1080/02601370.2018.1513426","ISSN":"0260-1370","author":[{"dropping-particle":"","family":"Mentz","given":"Elsa","non-dropping-particle":"","parse-names":false,"suffix":""},{"dropping-particle":"Van","family":"Zyl","given":"Sukie","non-dropping-particle":"","parse-names":false,"suffix":""}],"container-title":"International Journal of Lifelong Education","id":"ITEM-1","issue":"00","issued":{"date-parts":[["2018"]]},"page":"1-13","publisher":"Routledge","title":"The impact of cooperative learning on self- directed learning abilities in the computer applications technology class","type":"article-journal","volume":"00"},"uris":["http://www.mendeley.com/documents/?uuid=e589e330-b5d0-44f7-8fe6-ab1b4a7279b0"]}],"mendeley":{"formattedCitation":"(Mentz &amp; Zyl, 2018)","plainTextFormattedCitation":"(Mentz &amp; Zyl, 2018)","previouslyFormattedCitation":"(Mentz &amp; Zyl, 2018)"},"properties":{"noteIndex":0},"schema":"https://github.com/citation-style-language/schema/raw/master/csl-citation.json"}</w:instrText>
      </w:r>
      <w:r w:rsidR="00EB7063">
        <w:rPr>
          <w:rFonts w:ascii="Georgia" w:hAnsi="Georgia" w:cs="Times New Roman"/>
          <w:color w:val="222222"/>
          <w:lang w:val="en-US"/>
        </w:rPr>
        <w:fldChar w:fldCharType="separate"/>
      </w:r>
      <w:r w:rsidR="00EB7063" w:rsidRPr="00EB7063">
        <w:rPr>
          <w:rFonts w:ascii="Georgia" w:hAnsi="Georgia" w:cs="Times New Roman"/>
          <w:noProof/>
          <w:color w:val="222222"/>
          <w:lang w:val="en-US"/>
        </w:rPr>
        <w:t>(Mentz &amp; Zyl, 2018)</w:t>
      </w:r>
      <w:r w:rsidR="00EB7063">
        <w:rPr>
          <w:rFonts w:ascii="Georgia" w:hAnsi="Georgia" w:cs="Times New Roman"/>
          <w:color w:val="222222"/>
          <w:lang w:val="en-US"/>
        </w:rPr>
        <w:fldChar w:fldCharType="end"/>
      </w:r>
      <w:r w:rsidR="00EC1308">
        <w:rPr>
          <w:rFonts w:ascii="Georgia" w:hAnsi="Georgia" w:cs="Times New Roman"/>
          <w:color w:val="222222"/>
          <w:lang w:val="en-US"/>
        </w:rPr>
        <w:t>, kecerdasan emosional</w:t>
      </w:r>
      <w:r w:rsidR="00EC1308" w:rsidRPr="00EC1308">
        <w:rPr>
          <w:rFonts w:ascii="Georgia" w:hAnsi="Georgia" w:cs="Times New Roman"/>
          <w:color w:val="222222"/>
          <w:lang w:val="en-US"/>
        </w:rPr>
        <w:t xml:space="preserve"> </w:t>
      </w:r>
      <w:r w:rsidR="00352A81">
        <w:rPr>
          <w:rFonts w:ascii="Georgia" w:hAnsi="Georgia" w:cs="Times New Roman"/>
          <w:color w:val="222222"/>
          <w:lang w:val="en-US"/>
        </w:rPr>
        <w:fldChar w:fldCharType="begin" w:fldLock="1"/>
      </w:r>
      <w:r w:rsidR="00094FCA">
        <w:rPr>
          <w:rFonts w:ascii="Georgia" w:hAnsi="Georgia" w:cs="Times New Roman"/>
          <w:color w:val="222222"/>
          <w:lang w:val="en-US"/>
        </w:rPr>
        <w:instrText>ADDIN CSL_CITATION {"citationItems":[{"id":"ITEM-1","itemData":{"DOI":"10.1177/1074295621997599","ISBN":"1074295621997","ISSN":"21635323","abstract":"Cooperative group activities in classrooms provide an opportunity for children to learn and demonstrate relationship skills, particularly when clear expectations and explicit instruction are provided. Relationship skills are one of the five competency areas of social and emotional learning. This article provides directions and illustrations for using cooperative group activities to improve the relationship skills of students with or at risk for emotional and behavioral disorders.","author":[{"dropping-particle":"","family":"Wattanawongwan","given":"Sanikan","non-dropping-particle":"","parse-names":false,"suffix":""},{"dropping-particle":"","family":"Smith","given":"S. D.","non-dropping-particle":"","parse-names":false,"suffix":""},{"dropping-particle":"","family":"Vannest","given":"Kimberly J.","non-dropping-particle":"","parse-names":false,"suffix":""}],"container-title":"Beyond Behavior","id":"ITEM-1","issue":"1","issued":{"date-parts":[["2021"]]},"page":"32-40","title":"Cooperative Learning Strategies for Building Relationship Skills in Students With Emotional and Behavioral Disorders","type":"article-journal","volume":"30"},"uris":["http://www.mendeley.com/documents/?uuid=62f5c900-bce1-4112-a84c-8b0695bd7eae"]}],"mendeley":{"formattedCitation":"(Wattanawongwan et al., 2021)","plainTextFormattedCitation":"(Wattanawongwan et al., 2021)","previouslyFormattedCitation":"(Wattanawongwan et al., 2021)"},"properties":{"noteIndex":0},"schema":"https://github.com/citation-style-language/schema/raw/master/csl-citation.json"}</w:instrText>
      </w:r>
      <w:r w:rsidR="00352A81">
        <w:rPr>
          <w:rFonts w:ascii="Georgia" w:hAnsi="Georgia" w:cs="Times New Roman"/>
          <w:color w:val="222222"/>
          <w:lang w:val="en-US"/>
        </w:rPr>
        <w:fldChar w:fldCharType="separate"/>
      </w:r>
      <w:r w:rsidR="00352A81" w:rsidRPr="00352A81">
        <w:rPr>
          <w:rFonts w:ascii="Georgia" w:hAnsi="Georgia" w:cs="Times New Roman"/>
          <w:noProof/>
          <w:color w:val="222222"/>
          <w:lang w:val="en-US"/>
        </w:rPr>
        <w:t>(Wattanawongwan et al., 2021)</w:t>
      </w:r>
      <w:r w:rsidR="00352A81">
        <w:rPr>
          <w:rFonts w:ascii="Georgia" w:hAnsi="Georgia" w:cs="Times New Roman"/>
          <w:color w:val="222222"/>
          <w:lang w:val="en-US"/>
        </w:rPr>
        <w:fldChar w:fldCharType="end"/>
      </w:r>
      <w:r w:rsidR="00352A81">
        <w:rPr>
          <w:rFonts w:ascii="Georgia" w:hAnsi="Georgia" w:cs="Times New Roman"/>
          <w:color w:val="222222"/>
          <w:lang w:val="en-US"/>
        </w:rPr>
        <w:t xml:space="preserve">, </w:t>
      </w:r>
      <w:r w:rsidR="00EC1308">
        <w:rPr>
          <w:rFonts w:ascii="Georgia" w:hAnsi="Georgia" w:cs="Times New Roman"/>
          <w:color w:val="222222"/>
          <w:lang w:val="en-US"/>
        </w:rPr>
        <w:t>keterampilan berpikir kritis</w:t>
      </w:r>
      <w:r w:rsidR="00722E91">
        <w:rPr>
          <w:rFonts w:ascii="Georgia" w:hAnsi="Georgia" w:cs="Times New Roman"/>
          <w:color w:val="222222"/>
          <w:lang w:val="en-US"/>
        </w:rPr>
        <w:t xml:space="preserve"> </w:t>
      </w:r>
      <w:r w:rsidR="00722E91">
        <w:rPr>
          <w:rFonts w:ascii="Georgia" w:hAnsi="Georgia" w:cs="Times New Roman"/>
          <w:color w:val="222222"/>
          <w:lang w:val="en-US"/>
        </w:rPr>
        <w:fldChar w:fldCharType="begin" w:fldLock="1"/>
      </w:r>
      <w:r w:rsidR="00401189">
        <w:rPr>
          <w:rFonts w:ascii="Georgia" w:hAnsi="Georgia" w:cs="Times New Roman"/>
          <w:color w:val="222222"/>
          <w:lang w:val="en-US"/>
        </w:rPr>
        <w:instrText>ADDIN CSL_CITATION {"citationItems":[{"id":"ITEM-1","itemData":{"DOI":"10.2753/PIN1099-9922120102","ISSN":"15580989","abstract":"Effective ethics teaching and training must cultivate both the critical thinking skills and the character traits needed to deliberate effectively about ethical issues in personal and professional life. After highlighting some cognitive and motivational obstacles that stand in the way of this task, the article draws on educational research and the author's experience to demonstrate how cooperative learning techniques can be used to overcome them. Since relatively little attention has been paid to the efficacy of cooperative learning in the area of ethics, this analysis also serves to illuminate additional areas for research.","author":[{"dropping-particle":"","family":"Matchett","given":"Nancy J.","non-dropping-particle":"","parse-names":false,"suffix":""}],"container-title":"Public Integrity","id":"ITEM-1","issue":"1","issued":{"date-parts":[["2009"]]},"page":"25-38","title":"Cooperative Learning, Critical Thinking, and Character: Techniques to Cultivate Ethical Deliberation","type":"article-journal","volume":"12"},"uris":["http://www.mendeley.com/documents/?uuid=77dff6f3-df2d-494f-82f6-b37566b9d58f"]}],"mendeley":{"formattedCitation":"(Matchett, 2009)","plainTextFormattedCitation":"(Matchett, 2009)","previouslyFormattedCitation":"(Matchett, 2009)"},"properties":{"noteIndex":0},"schema":"https://github.com/citation-style-language/schema/raw/master/csl-citation.json"}</w:instrText>
      </w:r>
      <w:r w:rsidR="00722E91">
        <w:rPr>
          <w:rFonts w:ascii="Georgia" w:hAnsi="Georgia" w:cs="Times New Roman"/>
          <w:color w:val="222222"/>
          <w:lang w:val="en-US"/>
        </w:rPr>
        <w:fldChar w:fldCharType="separate"/>
      </w:r>
      <w:r w:rsidR="00722E91" w:rsidRPr="00722E91">
        <w:rPr>
          <w:rFonts w:ascii="Georgia" w:hAnsi="Georgia" w:cs="Times New Roman"/>
          <w:noProof/>
          <w:color w:val="222222"/>
          <w:lang w:val="en-US"/>
        </w:rPr>
        <w:t>(Matchett, 2009)</w:t>
      </w:r>
      <w:r w:rsidR="00722E91">
        <w:rPr>
          <w:rFonts w:ascii="Georgia" w:hAnsi="Georgia" w:cs="Times New Roman"/>
          <w:color w:val="222222"/>
          <w:lang w:val="en-US"/>
        </w:rPr>
        <w:fldChar w:fldCharType="end"/>
      </w:r>
      <w:r w:rsidR="00764D06">
        <w:rPr>
          <w:rFonts w:ascii="Georgia" w:hAnsi="Georgia" w:cs="Times New Roman"/>
          <w:color w:val="222222"/>
          <w:lang w:val="en-US"/>
        </w:rPr>
        <w:t xml:space="preserve">, keterampilan sosial </w:t>
      </w:r>
      <w:r w:rsidR="00764D06">
        <w:rPr>
          <w:rFonts w:ascii="Georgia" w:hAnsi="Georgia" w:cs="Times New Roman"/>
          <w:color w:val="222222"/>
          <w:lang w:val="en-US"/>
        </w:rPr>
        <w:fldChar w:fldCharType="begin" w:fldLock="1"/>
      </w:r>
      <w:r w:rsidR="00722E91">
        <w:rPr>
          <w:rFonts w:ascii="Georgia" w:hAnsi="Georgia" w:cs="Times New Roman"/>
          <w:color w:val="222222"/>
          <w:lang w:val="en-US"/>
        </w:rPr>
        <w:instrText>ADDIN CSL_CITATION {"citationItems":[{"id":"ITEM-1","itemData":{"DOI":"10.5430/ijhe.v3n2p131","ISSN":"1927-6044","abstract":"This experimental study investigated the effects of cooperative learning on the achievement and knowledge retention of 110 first-year primary education students toward the psychology subject over the eight weeks of instruction at An Giang University. These tertiary students were divided into two matched groups of 55 to be taught by the same lecturer. In the experimental group, cooperative learning was employed, while in the control group, lecture-based teaching was used. The results showed that after approximately 8 weeks students who were instructed using cooperative learning achieved significantly higher scores on the achievement and knowledge retention postteststhan did students who were instructed using lecture-based teaching. The study supports the effectiveness of cooperative learning in Vietnamese higher education.","author":[{"dropping-particle":"","family":"Tran","given":"Van Dat","non-dropping-particle":"","parse-names":false,"suffix":""}],"container-title":"International Journal of Higher Education","id":"ITEM-1","issue":"2","issued":{"date-parts":[["2014"]]},"page":"131-140","title":"The Effects of Cooperative Learning on the Academic Achievement and Knowledge Retention","type":"article-journal","volume":"3"},"uris":["http://www.mendeley.com/documents/?uuid=b9b1bb93-e755-4803-aba1-0a147721630d"]}],"mendeley":{"formattedCitation":"(Tran, 2014)","plainTextFormattedCitation":"(Tran, 2014)","previouslyFormattedCitation":"(Tran, 2014)"},"properties":{"noteIndex":0},"schema":"https://github.com/citation-style-language/schema/raw/master/csl-citation.json"}</w:instrText>
      </w:r>
      <w:r w:rsidR="00764D06">
        <w:rPr>
          <w:rFonts w:ascii="Georgia" w:hAnsi="Georgia" w:cs="Times New Roman"/>
          <w:color w:val="222222"/>
          <w:lang w:val="en-US"/>
        </w:rPr>
        <w:fldChar w:fldCharType="separate"/>
      </w:r>
      <w:r w:rsidR="00764D06" w:rsidRPr="00764D06">
        <w:rPr>
          <w:rFonts w:ascii="Georgia" w:hAnsi="Georgia" w:cs="Times New Roman"/>
          <w:noProof/>
          <w:color w:val="222222"/>
          <w:lang w:val="en-US"/>
        </w:rPr>
        <w:t>(Tran, 2014)</w:t>
      </w:r>
      <w:r w:rsidR="00764D06">
        <w:rPr>
          <w:rFonts w:ascii="Georgia" w:hAnsi="Georgia" w:cs="Times New Roman"/>
          <w:color w:val="222222"/>
          <w:lang w:val="en-US"/>
        </w:rPr>
        <w:fldChar w:fldCharType="end"/>
      </w:r>
      <w:r w:rsidR="00401189">
        <w:rPr>
          <w:rFonts w:ascii="Georgia" w:hAnsi="Georgia" w:cs="Times New Roman"/>
          <w:color w:val="222222"/>
          <w:lang w:val="en-US"/>
        </w:rPr>
        <w:t xml:space="preserve">, kreativitas </w:t>
      </w:r>
      <w:r w:rsidR="00401189">
        <w:rPr>
          <w:rFonts w:ascii="Georgia" w:hAnsi="Georgia" w:cs="Times New Roman"/>
          <w:color w:val="222222"/>
          <w:lang w:val="en-US"/>
        </w:rPr>
        <w:fldChar w:fldCharType="begin" w:fldLock="1"/>
      </w:r>
      <w:r w:rsidR="00401189">
        <w:rPr>
          <w:rFonts w:ascii="Georgia" w:hAnsi="Georgia" w:cs="Times New Roman"/>
          <w:color w:val="222222"/>
          <w:lang w:val="en-US"/>
        </w:rPr>
        <w:instrText>ADDIN CSL_CITATION {"citationItems":[{"id":"ITEM-1","itemData":{"DOI":"10.1080/08924562.2005.10591181","ISSN":"21683778","author":[{"dropping-particle":"","family":"Gossett","given":"Michael","non-dropping-particle":"","parse-names":false,"suffix":""},{"dropping-particle":"","family":"Fischer","given":"Olga","non-dropping-particle":"","parse-names":false,"suffix":""}],"container-title":"Strategies","id":"ITEM-1","issue":"2","issued":{"date-parts":[["2005"]]},"page":"27-30","title":"Bringing Together Critical Thinking and Cooperative Learning Between Two Schools","type":"article-journal","volume":"19"},"uris":["http://www.mendeley.com/documents/?uuid=ca2b2344-c511-4921-aa9d-48d3ee809945"]}],"mendeley":{"formattedCitation":"(Gossett &amp; Fischer, 2005)","manualFormatting":"(Gossett &amp; Fischer, 2005","plainTextFormattedCitation":"(Gossett &amp; Fischer, 2005)","previouslyFormattedCitation":"(Gossett &amp; Fischer, 2005)"},"properties":{"noteIndex":0},"schema":"https://github.com/citation-style-language/schema/raw/master/csl-citation.json"}</w:instrText>
      </w:r>
      <w:r w:rsidR="00401189">
        <w:rPr>
          <w:rFonts w:ascii="Georgia" w:hAnsi="Georgia" w:cs="Times New Roman"/>
          <w:color w:val="222222"/>
          <w:lang w:val="en-US"/>
        </w:rPr>
        <w:fldChar w:fldCharType="separate"/>
      </w:r>
      <w:r w:rsidR="00401189" w:rsidRPr="00401189">
        <w:rPr>
          <w:rFonts w:ascii="Georgia" w:hAnsi="Georgia" w:cs="Times New Roman"/>
          <w:noProof/>
          <w:color w:val="222222"/>
          <w:lang w:val="en-US"/>
        </w:rPr>
        <w:t>(Gossett &amp; Fischer, 2005</w:t>
      </w:r>
      <w:r w:rsidR="00401189">
        <w:rPr>
          <w:rFonts w:ascii="Georgia" w:hAnsi="Georgia" w:cs="Times New Roman"/>
          <w:color w:val="222222"/>
          <w:lang w:val="en-US"/>
        </w:rPr>
        <w:fldChar w:fldCharType="end"/>
      </w:r>
      <w:r w:rsidR="00401189">
        <w:rPr>
          <w:rFonts w:ascii="Georgia" w:hAnsi="Georgia" w:cs="Times New Roman"/>
          <w:color w:val="222222"/>
          <w:lang w:val="en-US"/>
        </w:rPr>
        <w:t xml:space="preserve">; </w:t>
      </w:r>
      <w:r w:rsidR="00401189">
        <w:rPr>
          <w:rFonts w:ascii="Georgia" w:hAnsi="Georgia" w:cs="Times New Roman"/>
          <w:color w:val="222222"/>
          <w:lang w:val="en-US"/>
        </w:rPr>
        <w:fldChar w:fldCharType="begin" w:fldLock="1"/>
      </w:r>
      <w:r w:rsidR="00775D97">
        <w:rPr>
          <w:rFonts w:ascii="Georgia" w:hAnsi="Georgia" w:cs="Times New Roman"/>
          <w:color w:val="222222"/>
          <w:lang w:val="en-US"/>
        </w:rPr>
        <w:instrText>ADDIN CSL_CITATION {"citationItems":[{"id":"ITEM-1","itemData":{"DOI":"10.1016/j.tsc.2020.100663","ISSN":"18711871","abstract":"The objectives of the present study were to investigate whether students' creative thinking can be enhanced through a structured program of reading and writing activities in the context of a cooperative learning classroom, and to test for a possible correlation between improvements in creative thinking and improvements in academic performance. Sixty fifth-grade students from a primary school in the south of Spain participated over two months: half received reading and writing activities in a cooperative learning classroom (experimental group, n=30), and half received the standard fifth-grade reading and writing program (control group, n=30). Creative thinking was assessed through a divergent thinking task (CREA Test; Corbalán et al., 2003), and Grade Point Average (GPA) was used as index of academic achievement. The results revealed a significant increase in creativity scores in the experimental group as compared with the control, and a moderate positive correlation between creative thinking and academic achievement. The present findings are consistent with the idea that creative thinking (divergent thinking) can be enhanced with reading and writing activities implemented through cooperative learning in school-age children.","author":[{"dropping-particle":"","family":"Segundo Marcos","given":"Rafael Ibán","non-dropping-particle":"","parse-names":false,"suffix":""},{"dropping-particle":"","family":"López Ferández","given":"Verónica","non-dropping-particle":"","parse-names":false,"suffix":""},{"dropping-particle":"","family":"Daza González","given":"María Teresa","non-dropping-particle":"","parse-names":false,"suffix":""},{"dropping-particle":"","family":"Phillips-Silver","given":"Jessica","non-dropping-particle":"","parse-names":false,"suffix":""}],"container-title":"Thinking Skills and Creativity","id":"ITEM-1","issue":"June 2019","issued":{"date-parts":[["2020"]]},"page":"100663","publisher":"Elsevier","title":"Promoting children's creative thinking through reading and writing in a cooperative learning classroom","type":"article-journal","volume":"36"},"uris":["http://www.mendeley.com/documents/?uuid=49668fec-dd68-4503-a5f1-fd40a22b3439"]}],"mendeley":{"formattedCitation":"(Segundo Marcos et al., 2020)","manualFormatting":"Segundo Marcos et al., 2020)","plainTextFormattedCitation":"(Segundo Marcos et al., 2020)","previouslyFormattedCitation":"(Segundo Marcos et al., 2020)"},"properties":{"noteIndex":0},"schema":"https://github.com/citation-style-language/schema/raw/master/csl-citation.json"}</w:instrText>
      </w:r>
      <w:r w:rsidR="00401189">
        <w:rPr>
          <w:rFonts w:ascii="Georgia" w:hAnsi="Georgia" w:cs="Times New Roman"/>
          <w:color w:val="222222"/>
          <w:lang w:val="en-US"/>
        </w:rPr>
        <w:fldChar w:fldCharType="separate"/>
      </w:r>
      <w:r w:rsidR="00401189" w:rsidRPr="00401189">
        <w:rPr>
          <w:rFonts w:ascii="Georgia" w:hAnsi="Georgia" w:cs="Times New Roman"/>
          <w:noProof/>
          <w:color w:val="222222"/>
          <w:lang w:val="en-US"/>
        </w:rPr>
        <w:t>Segundo Marcos et al., 2020)</w:t>
      </w:r>
      <w:r w:rsidR="00401189">
        <w:rPr>
          <w:rFonts w:ascii="Georgia" w:hAnsi="Georgia" w:cs="Times New Roman"/>
          <w:color w:val="222222"/>
          <w:lang w:val="en-US"/>
        </w:rPr>
        <w:fldChar w:fldCharType="end"/>
      </w:r>
      <w:r w:rsidR="00AD6B1A">
        <w:rPr>
          <w:rFonts w:ascii="Georgia" w:hAnsi="Georgia" w:cs="Times New Roman"/>
          <w:color w:val="222222"/>
          <w:lang w:val="en-US"/>
        </w:rPr>
        <w:t xml:space="preserve">, </w:t>
      </w:r>
      <w:r w:rsidR="00EC1308" w:rsidRPr="00EC1308">
        <w:rPr>
          <w:rFonts w:ascii="Georgia" w:hAnsi="Georgia" w:cs="Times New Roman"/>
          <w:color w:val="222222"/>
          <w:lang w:val="en-US"/>
        </w:rPr>
        <w:t>kete</w:t>
      </w:r>
      <w:r w:rsidR="00775D97">
        <w:rPr>
          <w:rFonts w:ascii="Georgia" w:hAnsi="Georgia" w:cs="Times New Roman"/>
          <w:color w:val="222222"/>
          <w:lang w:val="en-US"/>
        </w:rPr>
        <w:t xml:space="preserve">rampilan memecahkan masalah </w:t>
      </w:r>
      <w:r w:rsidR="00775D97">
        <w:rPr>
          <w:rFonts w:ascii="Georgia" w:hAnsi="Georgia" w:cs="Times New Roman"/>
          <w:color w:val="222222"/>
          <w:lang w:val="en-US"/>
        </w:rPr>
        <w:fldChar w:fldCharType="begin" w:fldLock="1"/>
      </w:r>
      <w:r w:rsidR="005336ED">
        <w:rPr>
          <w:rFonts w:ascii="Georgia" w:hAnsi="Georgia" w:cs="Times New Roman"/>
          <w:color w:val="222222"/>
          <w:lang w:val="en-US"/>
        </w:rPr>
        <w:instrText>ADDIN CSL_CITATION {"citationItems":[{"id":"ITEM-1","itemData":{"DOI":"10.5897/err2016.2756","ISSN":"1990-3839","abstract":"The purpose of the present research was to investigate the effects of physical education lessons planned in accordance with cooperative learning approach on secondary school students' problem solving skills. The research was conducted on 48 students studying at Konya/Selçuklu Sehit Mustafa Çuhadar Secondary School in fall semester of 2015-2016 school year. The research utilized an experiment (24 students) and a control (24 students) group. In order to investigate the effects of physical education lessons planned in accordance with cooperative learning approach on students' problem solving skills, \"Problem Solving Inventory for Primary School Children\" developed by Serin et al. (2010) was implemented. Data were analysed on statistics software, using Mann Whitney-U and Wilcoxon Signed Rank tests. According to the findings obtained in the present study, there are not any significant differences between experiment and control groups in terms of pre-test confidence in problem solving skill, self-control, and avoidance and total score averages (p&gt;0.05). There are significant differences between control group pre-test and post-test scores in all dimensions and total scores, in favour of post-test (p&lt;0.05). There are significant differences between experiment group pretest and post-test scores in all dimensions and total scores, in favour of post-test (p&lt;0.05). There are significant differences between experiment and control groups' post-test scores in all sub-dimensions and total scores (p&lt;0.05). Obtained findings showed that, problem solving skills of the experiment group students, on who cooperative learning approach was conducted, significantly increased more than control group students, on whom traditional methods were conducted, and the difference between these two groups was significant.","author":[{"dropping-particle":"","family":"Alpaslan","given":"Gorucu","non-dropping-particle":"","parse-names":false,"suffix":""}],"container-title":"Educational Research and Reviews","id":"ITEM-1","issue":"10","issued":{"date-parts":[["2016"]]},"page":"998-1007","title":"The investigation of the effects of physical education lessons planned in accordance with cooperative learning approach on secondary school students problem solving skills","type":"article-journal","volume":"11"},"uris":["http://www.mendeley.com/documents/?uuid=ac48a854-487c-4e54-a9b4-1ad19b53d1f3"]}],"mendeley":{"formattedCitation":"(Alpaslan, 2016)","plainTextFormattedCitation":"(Alpaslan, 2016)","previouslyFormattedCitation":"(Alpaslan, 2016)"},"properties":{"noteIndex":0},"schema":"https://github.com/citation-style-language/schema/raw/master/csl-citation.json"}</w:instrText>
      </w:r>
      <w:r w:rsidR="00775D97">
        <w:rPr>
          <w:rFonts w:ascii="Georgia" w:hAnsi="Georgia" w:cs="Times New Roman"/>
          <w:color w:val="222222"/>
          <w:lang w:val="en-US"/>
        </w:rPr>
        <w:fldChar w:fldCharType="separate"/>
      </w:r>
      <w:r w:rsidR="00775D97" w:rsidRPr="00775D97">
        <w:rPr>
          <w:rFonts w:ascii="Georgia" w:hAnsi="Georgia" w:cs="Times New Roman"/>
          <w:noProof/>
          <w:color w:val="222222"/>
          <w:lang w:val="en-US"/>
        </w:rPr>
        <w:t>(Alpaslan, 2016)</w:t>
      </w:r>
      <w:r w:rsidR="00775D97">
        <w:rPr>
          <w:rFonts w:ascii="Georgia" w:hAnsi="Georgia" w:cs="Times New Roman"/>
          <w:color w:val="222222"/>
          <w:lang w:val="en-US"/>
        </w:rPr>
        <w:fldChar w:fldCharType="end"/>
      </w:r>
      <w:r w:rsidR="00AD6B1A">
        <w:rPr>
          <w:rFonts w:ascii="Georgia" w:hAnsi="Georgia" w:cs="Times New Roman"/>
          <w:color w:val="222222"/>
          <w:lang w:val="en-US"/>
        </w:rPr>
        <w:t xml:space="preserve">, motivasi </w:t>
      </w:r>
      <w:r w:rsidR="005336ED">
        <w:rPr>
          <w:rFonts w:ascii="Georgia" w:hAnsi="Georgia" w:cs="Times New Roman"/>
          <w:color w:val="222222"/>
          <w:lang w:val="en-US"/>
        </w:rPr>
        <w:fldChar w:fldCharType="begin" w:fldLock="1"/>
      </w:r>
      <w:r w:rsidR="00581463">
        <w:rPr>
          <w:rFonts w:ascii="Georgia" w:hAnsi="Georgia" w:cs="Times New Roman"/>
          <w:color w:val="222222"/>
          <w:lang w:val="en-US"/>
        </w:rPr>
        <w:instrText>ADDIN CSL_CITATION {"citationItems":[{"id":"ITEM-1","itemData":{"DOI":"10.33258/birle.v3i1.751","ISSN":"2655-2647","abstract":"This study aim to examine the application of teams games tournament (TGT) and teaching games for understanding (TGfU) on learning motivation and volley ball passing skills students in grade 8th Muhammadiyah 1 Sidoarjo junior high school. This study uses a qualitative and quantitative approach to experiment research and non randomized control group pretest-posttest design to fix the population and sample. The qualitative approach of this study is filling out  the learning motivation questionnaire, while the quantitative approach is conduct a volley ball passing skills test according to the norm. This approach is carried out befor and after treatment called pretest and posttest. The subjects were 87 students who devided into three groups in VIII-G, VIII-I, and VIII-J class. VIII-G class as a control group were not given a treatment, VIII-I class as the experimental group I (TGT), and VIII-J as the experimental group II (TGfU). Data were analized with descriptive statistics using the SPSS 22.0 program. Based on the data concluded that there was a significant increase in the experimental groups compared to the control group. It’s show that learning motivation in experimental group I (TGT) is increase than experimental group II (TGfU) by 11,18% for TGT and 5,76% for TGfU. Volley ball passing skills test has increase by 19,56% in group I (TGT) and 15,48% in group II (TGfU). The result of this study is TGT and TGfU learning models can improve the level of learning motivation and volley ball passing skill.","author":[{"dropping-particle":"","family":"Artha","given":"Annisa Alifvia","non-dropping-particle":"","parse-names":false,"suffix":""},{"dropping-particle":"","family":"Syam T","given":"Abdul Rahman","non-dropping-particle":"","parse-names":false,"suffix":""},{"dropping-particle":"","family":"Priambodo","given":"Anung","non-dropping-particle":"","parse-names":false,"suffix":""}],"container-title":"Budapest International Research and Critics in Linguistics and Education (BirLE) Journal","id":"ITEM-1","issue":"1","issued":{"date-parts":[["2020"]]},"page":"46-53","title":"The Application of Teams Games Tournament (TGT) and Teaching Game for Understanding (TGfU) Learning Models on Learning Motivation and Volley Ball Passing Skills","type":"article-journal","volume":"3"},"uris":["http://www.mendeley.com/documents/?uuid=32900920-8396-4fce-b4c7-ba1ee2078b3e"]}],"mendeley":{"formattedCitation":"(Artha et al., 2020)","plainTextFormattedCitation":"(Artha et al., 2020)","previouslyFormattedCitation":"(Artha et al., 2020)"},"properties":{"noteIndex":0},"schema":"https://github.com/citation-style-language/schema/raw/master/csl-citation.json"}</w:instrText>
      </w:r>
      <w:r w:rsidR="005336ED">
        <w:rPr>
          <w:rFonts w:ascii="Georgia" w:hAnsi="Georgia" w:cs="Times New Roman"/>
          <w:color w:val="222222"/>
          <w:lang w:val="en-US"/>
        </w:rPr>
        <w:fldChar w:fldCharType="separate"/>
      </w:r>
      <w:r w:rsidR="005336ED" w:rsidRPr="005336ED">
        <w:rPr>
          <w:rFonts w:ascii="Georgia" w:hAnsi="Georgia" w:cs="Times New Roman"/>
          <w:noProof/>
          <w:color w:val="222222"/>
          <w:lang w:val="en-US"/>
        </w:rPr>
        <w:t>(Artha et al., 2020)</w:t>
      </w:r>
      <w:r w:rsidR="005336ED">
        <w:rPr>
          <w:rFonts w:ascii="Georgia" w:hAnsi="Georgia" w:cs="Times New Roman"/>
          <w:color w:val="222222"/>
          <w:lang w:val="en-US"/>
        </w:rPr>
        <w:fldChar w:fldCharType="end"/>
      </w:r>
      <w:r w:rsidR="005336ED">
        <w:rPr>
          <w:rFonts w:ascii="Georgia" w:hAnsi="Georgia" w:cs="Times New Roman"/>
          <w:color w:val="222222"/>
          <w:lang w:val="en-US"/>
        </w:rPr>
        <w:t>.</w:t>
      </w:r>
    </w:p>
    <w:p w14:paraId="39AD0230" w14:textId="11A5263B" w:rsidR="005336ED" w:rsidRDefault="005336ED" w:rsidP="005A1346">
      <w:pPr>
        <w:spacing w:after="0" w:line="240" w:lineRule="auto"/>
        <w:ind w:firstLine="567"/>
        <w:jc w:val="both"/>
        <w:rPr>
          <w:rFonts w:ascii="Georgia" w:hAnsi="Georgia" w:cs="Times New Roman"/>
          <w:color w:val="222222"/>
          <w:lang w:val="en-US"/>
        </w:rPr>
      </w:pPr>
      <w:r w:rsidRPr="005336ED">
        <w:rPr>
          <w:rFonts w:ascii="Georgia" w:hAnsi="Georgia" w:cs="Times New Roman"/>
          <w:color w:val="222222"/>
          <w:lang w:val="en-US"/>
        </w:rPr>
        <w:t xml:space="preserve">Aktivitas </w:t>
      </w:r>
      <w:r w:rsidR="00581463">
        <w:rPr>
          <w:rFonts w:ascii="Georgia" w:hAnsi="Georgia" w:cs="Times New Roman"/>
          <w:color w:val="222222"/>
          <w:lang w:val="en-US"/>
        </w:rPr>
        <w:t>olahraga</w:t>
      </w:r>
      <w:r w:rsidRPr="005336ED">
        <w:rPr>
          <w:rFonts w:ascii="Georgia" w:hAnsi="Georgia" w:cs="Times New Roman"/>
          <w:color w:val="222222"/>
          <w:lang w:val="en-US"/>
        </w:rPr>
        <w:t xml:space="preserve"> yang teratur sangat penting untuk kehidupan yang sehat </w:t>
      </w:r>
      <w:r w:rsidR="00581463">
        <w:rPr>
          <w:rFonts w:ascii="Georgia" w:hAnsi="Georgia" w:cs="Times New Roman"/>
          <w:color w:val="222222"/>
          <w:lang w:val="en-US"/>
        </w:rPr>
        <w:t xml:space="preserve">dan </w:t>
      </w:r>
      <w:r>
        <w:rPr>
          <w:rFonts w:ascii="Georgia" w:hAnsi="Georgia" w:cs="Times New Roman"/>
          <w:color w:val="222222"/>
          <w:lang w:val="en-US"/>
        </w:rPr>
        <w:t xml:space="preserve">mempengaruhi mental dan </w:t>
      </w:r>
      <w:r w:rsidRPr="005336ED">
        <w:rPr>
          <w:rFonts w:ascii="Georgia" w:hAnsi="Georgia" w:cs="Times New Roman"/>
          <w:color w:val="222222"/>
          <w:lang w:val="en-US"/>
        </w:rPr>
        <w:t xml:space="preserve">pembangunan fisik </w:t>
      </w:r>
      <w:r w:rsidR="00581463">
        <w:rPr>
          <w:rFonts w:ascii="Georgia" w:hAnsi="Georgia" w:cs="Times New Roman"/>
          <w:color w:val="222222"/>
          <w:lang w:val="en-US"/>
        </w:rPr>
        <w:t xml:space="preserve">seseorang </w:t>
      </w:r>
      <w:r w:rsidR="00581463">
        <w:rPr>
          <w:rFonts w:ascii="Georgia" w:hAnsi="Georgia" w:cs="Times New Roman"/>
          <w:color w:val="222222"/>
          <w:lang w:val="en-US"/>
        </w:rPr>
        <w:fldChar w:fldCharType="begin" w:fldLock="1"/>
      </w:r>
      <w:r w:rsidR="00CB1F2B">
        <w:rPr>
          <w:rFonts w:ascii="Georgia" w:hAnsi="Georgia" w:cs="Times New Roman"/>
          <w:color w:val="222222"/>
          <w:lang w:val="en-US"/>
        </w:rPr>
        <w:instrText>ADDIN CSL_CITATION {"citationItems":[{"id":"ITEM-1","itemData":{"ISBN":"01121642 (ISSN)","ISSN":"15264602","PMID":"17503878","abstract":"The obesity epidemic is a global trend and is of particular concern in children. Recent reports have highlighted the severity of obesity in children by suggesting: “today’s generation of children will be the first for over a century for whom life expectancy falls.” This review assesses the evidence that identifies the important role of physical activity in the growth, development and physical health of young people, owing to its numerous physical and psychological health benefits. Key issues, such as “does a sedentary lifestyle automatically lead to obesity” and “are levels of physical activity in today’s children less than physical activity levels in children from previous generations?”, are also discussed. Today’s environment enforces an inactive lifestyle that is likely to contribute to a positive energy balance and childhood obesity. Whether a child or adolescent, the evidence is conclusive that physical activity is conducive to a healthy lifestyle and prevention of disease. Habitual physical activity established during the early years may provide the greatest likelihood of impact on mortality and longevity. It is evident that environmental factors need to change if physical activity strategies are to have a significant impact on increasing habitual physical activity levels in children and adolescents. There is also a need for more evidence-based physical activity guidelines for children of all ages. Efforts should be concentrated on facilitating an active lifestyle for children in an attempt to put a stop to the increasing prevalence of obese children. The","author":[{"dropping-particle":"","family":"Hills","given":"Andrew P","non-dropping-particle":"","parse-names":false,"suffix":""},{"dropping-particle":"","family":"King","given":"Neil A","non-dropping-particle":"","parse-names":false,"suffix":""},{"dropping-particle":"","family":"Armstrong","given":"Timothy P","non-dropping-particle":"","parse-names":false,"suffix":""}],"container-title":"Sports Medicine","id":"ITEM-1","issue":"6","issued":{"date-parts":[["2007"]]},"page":"533-545","title":"Contribution of physical activity and sendentary bahaviours to the growth and development of children and adolescents","type":"article-journal","volume":"37"},"uris":["http://www.mendeley.com/documents/?uuid=08d460a9-b555-4c32-82d4-7ae56935b34c"]}],"mendeley":{"formattedCitation":"(Hills et al., 2007)","plainTextFormattedCitation":"(Hills et al., 2007)","previouslyFormattedCitation":"(Hills et al., 2007)"},"properties":{"noteIndex":0},"schema":"https://github.com/citation-style-language/schema/raw/master/csl-citation.json"}</w:instrText>
      </w:r>
      <w:r w:rsidR="00581463">
        <w:rPr>
          <w:rFonts w:ascii="Georgia" w:hAnsi="Georgia" w:cs="Times New Roman"/>
          <w:color w:val="222222"/>
          <w:lang w:val="en-US"/>
        </w:rPr>
        <w:fldChar w:fldCharType="separate"/>
      </w:r>
      <w:r w:rsidR="00581463" w:rsidRPr="00581463">
        <w:rPr>
          <w:rFonts w:ascii="Georgia" w:hAnsi="Georgia" w:cs="Times New Roman"/>
          <w:noProof/>
          <w:color w:val="222222"/>
          <w:lang w:val="en-US"/>
        </w:rPr>
        <w:t>(Hills et al., 2007)</w:t>
      </w:r>
      <w:r w:rsidR="00581463">
        <w:rPr>
          <w:rFonts w:ascii="Georgia" w:hAnsi="Georgia" w:cs="Times New Roman"/>
          <w:color w:val="222222"/>
          <w:lang w:val="en-US"/>
        </w:rPr>
        <w:fldChar w:fldCharType="end"/>
      </w:r>
      <w:r w:rsidRPr="005336ED">
        <w:rPr>
          <w:rFonts w:ascii="Georgia" w:hAnsi="Georgia" w:cs="Times New Roman"/>
          <w:color w:val="222222"/>
          <w:lang w:val="en-US"/>
        </w:rPr>
        <w:t xml:space="preserve">. Namun, banyak orang menghadapi hambatan untuk berolahraga secara teratur </w:t>
      </w:r>
      <w:r w:rsidR="00581463">
        <w:rPr>
          <w:rFonts w:ascii="Georgia" w:hAnsi="Georgia" w:cs="Times New Roman"/>
          <w:color w:val="222222"/>
          <w:lang w:val="en-US"/>
        </w:rPr>
        <w:t xml:space="preserve">akibat akitivitas pekerjaan yang tinggi </w:t>
      </w:r>
      <w:r w:rsidR="00CB1F2B">
        <w:rPr>
          <w:rFonts w:ascii="Georgia" w:hAnsi="Georgia" w:cs="Times New Roman"/>
          <w:color w:val="222222"/>
          <w:lang w:val="en-US"/>
        </w:rPr>
        <w:fldChar w:fldCharType="begin" w:fldLock="1"/>
      </w:r>
      <w:r w:rsidR="00FD70EE">
        <w:rPr>
          <w:rFonts w:ascii="Georgia" w:hAnsi="Georgia" w:cs="Times New Roman"/>
          <w:color w:val="222222"/>
          <w:lang w:val="en-US"/>
        </w:rPr>
        <w:instrText xml:space="preserve">ADDIN CSL_CITATION {"citationItems":[{"id":"ITEM-1","itemData":{"DOI":"10.1080/02640414.2021.1886665","ISSN":"1466447X","PMID":"33612080","abstract":"Physical activity is related with academic achievement in children. This cross-sectional study aimed to assess whether cardiorespiratory fitness (CRF) and executive function act as mediators of the association between moderate to vigorous physical activity (MVPA) and academic achievement. This study included 186 schoolchildren (9-11 years) from Cuenca, Spain. Sociodemographic variables, anthropometric variables, academic achievement, executive function (inhibition, cognitive flexibility and working memory), CRF (20-m shuttle run) and physical activity (by accelerometry) were measured. Serial mediation models were estimated using the Hayes´ PROCESS macro. The significant paths in the model mediating this relationship between MVPA and academic achievement were as follows: MVPA </w:instrText>
      </w:r>
      <w:r w:rsidR="00FD70EE">
        <w:rPr>
          <w:rFonts w:ascii="Times New Roman" w:hAnsi="Times New Roman" w:cs="Times New Roman"/>
          <w:color w:val="222222"/>
          <w:lang w:val="en-US"/>
        </w:rPr>
        <w:instrText>→</w:instrText>
      </w:r>
      <w:r w:rsidR="00FD70EE">
        <w:rPr>
          <w:rFonts w:ascii="Georgia" w:hAnsi="Georgia" w:cs="Times New Roman"/>
          <w:color w:val="222222"/>
          <w:lang w:val="en-US"/>
        </w:rPr>
        <w:instrText xml:space="preserve"> CRF </w:instrText>
      </w:r>
      <w:r w:rsidR="00FD70EE">
        <w:rPr>
          <w:rFonts w:ascii="Times New Roman" w:hAnsi="Times New Roman" w:cs="Times New Roman"/>
          <w:color w:val="222222"/>
          <w:lang w:val="en-US"/>
        </w:rPr>
        <w:instrText>→</w:instrText>
      </w:r>
      <w:r w:rsidR="00FD70EE">
        <w:rPr>
          <w:rFonts w:ascii="Georgia" w:hAnsi="Georgia" w:cs="Times New Roman"/>
          <w:color w:val="222222"/>
          <w:lang w:val="en-US"/>
        </w:rPr>
        <w:instrText xml:space="preserve"> academic achievement (IE = 0.068, 95% CI: [0.018; 0.127]; IE = 0.079, 95% CI: [0.029; 0.144]; and IE = 0.090, 95% CI: [0.032; 0.165], controlling for inhibition, cognitive flexibility and working memory, respectively), MVPA </w:instrText>
      </w:r>
      <w:r w:rsidR="00FD70EE">
        <w:rPr>
          <w:rFonts w:ascii="Times New Roman" w:hAnsi="Times New Roman" w:cs="Times New Roman"/>
          <w:color w:val="222222"/>
          <w:lang w:val="en-US"/>
        </w:rPr>
        <w:instrText>→</w:instrText>
      </w:r>
      <w:r w:rsidR="00FD70EE">
        <w:rPr>
          <w:rFonts w:ascii="Georgia" w:hAnsi="Georgia" w:cs="Times New Roman"/>
          <w:color w:val="222222"/>
          <w:lang w:val="en-US"/>
        </w:rPr>
        <w:instrText xml:space="preserve"> CRF </w:instrText>
      </w:r>
      <w:r w:rsidR="00FD70EE">
        <w:rPr>
          <w:rFonts w:ascii="Times New Roman" w:hAnsi="Times New Roman" w:cs="Times New Roman"/>
          <w:color w:val="222222"/>
          <w:lang w:val="en-US"/>
        </w:rPr>
        <w:instrText>→</w:instrText>
      </w:r>
      <w:r w:rsidR="00FD70EE">
        <w:rPr>
          <w:rFonts w:ascii="Georgia" w:hAnsi="Georgia" w:cs="Times New Roman"/>
          <w:color w:val="222222"/>
          <w:lang w:val="en-US"/>
        </w:rPr>
        <w:instrText xml:space="preserve"> inhibition </w:instrText>
      </w:r>
      <w:r w:rsidR="00FD70EE">
        <w:rPr>
          <w:rFonts w:ascii="Times New Roman" w:hAnsi="Times New Roman" w:cs="Times New Roman"/>
          <w:color w:val="222222"/>
          <w:lang w:val="en-US"/>
        </w:rPr>
        <w:instrText>→</w:instrText>
      </w:r>
      <w:r w:rsidR="00FD70EE">
        <w:rPr>
          <w:rFonts w:ascii="Georgia" w:hAnsi="Georgia" w:cs="Times New Roman"/>
          <w:color w:val="222222"/>
          <w:lang w:val="en-US"/>
        </w:rPr>
        <w:instrText xml:space="preserve"> academic achievement (0.018, 95% CI: [0.001; 0.047]) and MVPA </w:instrText>
      </w:r>
      <w:r w:rsidR="00FD70EE">
        <w:rPr>
          <w:rFonts w:ascii="Times New Roman" w:hAnsi="Times New Roman" w:cs="Times New Roman"/>
          <w:color w:val="222222"/>
          <w:lang w:val="en-US"/>
        </w:rPr>
        <w:instrText>→</w:instrText>
      </w:r>
      <w:r w:rsidR="00FD70EE">
        <w:rPr>
          <w:rFonts w:ascii="Georgia" w:hAnsi="Georgia" w:cs="Times New Roman"/>
          <w:color w:val="222222"/>
          <w:lang w:val="en-US"/>
        </w:rPr>
        <w:instrText xml:space="preserve"> cognitive flexibility </w:instrText>
      </w:r>
      <w:r w:rsidR="00FD70EE">
        <w:rPr>
          <w:rFonts w:ascii="Times New Roman" w:hAnsi="Times New Roman" w:cs="Times New Roman"/>
          <w:color w:val="222222"/>
          <w:lang w:val="en-US"/>
        </w:rPr>
        <w:instrText>→</w:instrText>
      </w:r>
      <w:r w:rsidR="00FD70EE">
        <w:rPr>
          <w:rFonts w:ascii="Georgia" w:hAnsi="Georgia" w:cs="Times New Roman"/>
          <w:color w:val="222222"/>
          <w:lang w:val="en-US"/>
        </w:rPr>
        <w:instrText xml:space="preserve"> academic achievement (0.087, 95% CI: [0.012; 0.169]). The relationship between MVPA and academic achievement may not be direct but mediated by CRF, cognitive flexibility, and inhibition via CRF. Physical activity interventions to improve AA should be focused on improvements in CRF and executive function.","author":[{"dropping-particle":"","family":"Visier-Alfonso","given":"María Eugenia","non-dropping-particle":"","parse-names":false,"suffix":""},{"dropping-particle":"","family":"Álvarez-Bueno","given":"Celia","non-dropping-particle":"","parse-names":false,"suffix":""},{"dropping-particle":"","family":"Sánchez-López","given":"Mairena","non-dropping-particle":"","parse-names":false,"suffix":""},{"dropping-particle":"","family":"Cavero-Redondo","given":"Iván","non-dropping-particle":"","parse-names":false,"suffix":""},{"dropping-particle":"","family":"Martínez-Hortelano","given":"José Alberto","non-dropping-particle":"","parse-names":false,"suffix":""},{"dropping-particle":"","family":"Nieto-López","given":"Marta","non-dropping-particle":"","parse-names":false,"suffix":""},{"dropping-particle":"","family":"Martínez-Vizcaíno","given":"Vicente","non-dropping-particle":"","parse-names":false,"suffix":""}],"container-title":"Journal of Sports Sciences","id":"ITEM-1","issue":"14","issued":{"date-parts":[["2021"]]},"page":"1576-1584","publisher":"Routledge","title":"Fitness and executive function as mediators between physical activity and academic achievement: Mediators between physical activity and academic achievement","type":"article-journal","volume":"39"},"uris":["http://www.mendeley.com/documents/?uuid=213cff93-574d-4f38-921c-7058b274afb7"]}],"mendeley":{"formattedCitation":"(Visier-Alfonso et al., 2021)","plainTextFormattedCitation":"(Visier-Alfonso et al., 2021)","previouslyFormattedCitation":"(Visier-Alfonso et al., 2021)"},"properties":{"noteIndex":0},"schema":"https://github.com/citation-style-language/schema/raw/master/csl-citation.json"}</w:instrText>
      </w:r>
      <w:r w:rsidR="00CB1F2B">
        <w:rPr>
          <w:rFonts w:ascii="Georgia" w:hAnsi="Georgia" w:cs="Times New Roman"/>
          <w:color w:val="222222"/>
          <w:lang w:val="en-US"/>
        </w:rPr>
        <w:fldChar w:fldCharType="separate"/>
      </w:r>
      <w:r w:rsidR="00CB1F2B" w:rsidRPr="00CB1F2B">
        <w:rPr>
          <w:rFonts w:ascii="Georgia" w:hAnsi="Georgia" w:cs="Times New Roman"/>
          <w:noProof/>
          <w:color w:val="222222"/>
          <w:lang w:val="en-US"/>
        </w:rPr>
        <w:t>(Visier-Alfonso et al., 2021)</w:t>
      </w:r>
      <w:r w:rsidR="00CB1F2B">
        <w:rPr>
          <w:rFonts w:ascii="Georgia" w:hAnsi="Georgia" w:cs="Times New Roman"/>
          <w:color w:val="222222"/>
          <w:lang w:val="en-US"/>
        </w:rPr>
        <w:fldChar w:fldCharType="end"/>
      </w:r>
      <w:r w:rsidRPr="005336ED">
        <w:rPr>
          <w:rFonts w:ascii="Georgia" w:hAnsi="Georgia" w:cs="Times New Roman"/>
          <w:color w:val="222222"/>
          <w:lang w:val="en-US"/>
        </w:rPr>
        <w:t xml:space="preserve">. </w:t>
      </w:r>
      <w:proofErr w:type="gramStart"/>
      <w:r w:rsidR="00FE2A93">
        <w:rPr>
          <w:rFonts w:ascii="Georgia" w:hAnsi="Georgia" w:cs="Times New Roman"/>
          <w:color w:val="222222"/>
          <w:lang w:val="en-US"/>
        </w:rPr>
        <w:t xml:space="preserve">Pada </w:t>
      </w:r>
      <w:r w:rsidRPr="005336ED">
        <w:rPr>
          <w:rFonts w:ascii="Georgia" w:hAnsi="Georgia" w:cs="Times New Roman"/>
          <w:color w:val="222222"/>
          <w:lang w:val="en-US"/>
        </w:rPr>
        <w:t>masa remaja, penurunan aktivitas fisik telah menjadi</w:t>
      </w:r>
      <w:r>
        <w:rPr>
          <w:rFonts w:ascii="Georgia" w:hAnsi="Georgia" w:cs="Times New Roman"/>
          <w:color w:val="222222"/>
          <w:lang w:val="en-US"/>
        </w:rPr>
        <w:t xml:space="preserve"> </w:t>
      </w:r>
      <w:r w:rsidRPr="005336ED">
        <w:rPr>
          <w:rFonts w:ascii="Georgia" w:hAnsi="Georgia" w:cs="Times New Roman"/>
          <w:color w:val="222222"/>
          <w:lang w:val="en-US"/>
        </w:rPr>
        <w:t>terlihat</w:t>
      </w:r>
      <w:r w:rsidR="00FD70EE">
        <w:rPr>
          <w:rFonts w:ascii="Georgia" w:hAnsi="Georgia" w:cs="Times New Roman"/>
          <w:color w:val="222222"/>
          <w:lang w:val="en-US"/>
        </w:rPr>
        <w:t>.</w:t>
      </w:r>
      <w:proofErr w:type="gramEnd"/>
      <w:r w:rsidR="00FD70EE">
        <w:rPr>
          <w:rFonts w:ascii="Georgia" w:hAnsi="Georgia" w:cs="Times New Roman"/>
          <w:color w:val="222222"/>
          <w:lang w:val="en-US"/>
        </w:rPr>
        <w:t xml:space="preserve"> Misalnya, </w:t>
      </w:r>
      <w:r w:rsidRPr="005336ED">
        <w:rPr>
          <w:rFonts w:ascii="Georgia" w:hAnsi="Georgia" w:cs="Times New Roman"/>
          <w:color w:val="222222"/>
          <w:lang w:val="en-US"/>
        </w:rPr>
        <w:t>12% anak perempuan dan 19,1% anak laki-laki berusia 11 hingga 15 tahun</w:t>
      </w:r>
      <w:r>
        <w:rPr>
          <w:rFonts w:ascii="Georgia" w:hAnsi="Georgia" w:cs="Times New Roman"/>
          <w:color w:val="222222"/>
          <w:lang w:val="en-US"/>
        </w:rPr>
        <w:t xml:space="preserve"> </w:t>
      </w:r>
      <w:r w:rsidRPr="005336ED">
        <w:rPr>
          <w:rFonts w:ascii="Georgia" w:hAnsi="Georgia" w:cs="Times New Roman"/>
          <w:color w:val="222222"/>
          <w:lang w:val="en-US"/>
        </w:rPr>
        <w:t xml:space="preserve">tahun di Jerman mencapai tingkat aktivitas fisik 60 menit </w:t>
      </w:r>
      <w:r w:rsidR="00FD70EE">
        <w:rPr>
          <w:rFonts w:ascii="Georgia" w:hAnsi="Georgia" w:cs="Times New Roman"/>
          <w:color w:val="222222"/>
          <w:lang w:val="en-US"/>
        </w:rPr>
        <w:t xml:space="preserve">per </w:t>
      </w:r>
      <w:r w:rsidRPr="005336ED">
        <w:rPr>
          <w:rFonts w:ascii="Georgia" w:hAnsi="Georgia" w:cs="Times New Roman"/>
          <w:color w:val="222222"/>
          <w:lang w:val="en-US"/>
        </w:rPr>
        <w:t>har</w:t>
      </w:r>
      <w:r w:rsidR="00FD70EE">
        <w:rPr>
          <w:rFonts w:ascii="Georgia" w:hAnsi="Georgia" w:cs="Times New Roman"/>
          <w:color w:val="222222"/>
          <w:lang w:val="en-US"/>
        </w:rPr>
        <w:t xml:space="preserve">i  </w:t>
      </w:r>
      <w:r w:rsidR="00FD70EE">
        <w:rPr>
          <w:rFonts w:ascii="Georgia" w:hAnsi="Georgia" w:cs="Times New Roman"/>
          <w:color w:val="222222"/>
          <w:lang w:val="en-US"/>
        </w:rPr>
        <w:fldChar w:fldCharType="begin" w:fldLock="1"/>
      </w:r>
      <w:r w:rsidR="00E55050">
        <w:rPr>
          <w:rFonts w:ascii="Georgia" w:hAnsi="Georgia" w:cs="Times New Roman"/>
          <w:color w:val="222222"/>
          <w:lang w:val="en-US"/>
        </w:rPr>
        <w:instrText>ADDIN CSL_CITATION {"citationItems":[{"id":"ITEM-1","itemData":{"DOI":"10.1371/journal.pone.0243608","ISBN":"1111111111","ISSN":"19326203","PMID":"33284852","abstract":"Enjoyment is one of the most important factors for the maintenance of regular physical activity. The present study investigated if cooperative games in physical education classes (grades 6–9) can increase students’ enjoyment of physical activity. Data were collected in a quasi-experimental study employing a two-group design with repeated measures and randomization of classes to conditions. The total sample consisted of N = 285 students from regular schools in Germany aged 10 to 16 years (Mage = 12.67 years, SD = 1.10; 48.4% female). We found that cooperative games led to a higher perceived enjoyment in physical education classes (F(1) = 3.49, p = .063, ηp2 = .012), increased the feeling of how strong students felt related to each other (F(1) = 4.38, p = .037, ηp2 = .016), and facilitated feelings of perceived competence in physical education class (F(1) = 6.31, p = .013, ηp2 = .022). In addition, social relatedness and perceived competence partly mediated the effect of cooperative games on enjoyment. The findings indicate that systematically designed cooperative games can help foster enjoyment in physical education classes.","author":[{"dropping-particle":"","family":"Engels","given":"Eliane Stephanie","non-dropping-particle":"","parse-names":false,"suffix":""},{"dropping-particle":"","family":"Freund","given":"Philipp Alexander","non-dropping-particle":"","parse-names":false,"suffix":""}],"container-title":"PLoS ONE","id":"ITEM-1","issue":"12 December","issued":{"date-parts":[["2020"]]},"page":"1-14","title":"Effects of cooperative games on enjoyment in physical education—How to increase positive experiences in students?","type":"article-journal","volume":"15"},"uris":["http://www.mendeley.com/documents/?uuid=b01d3e93-20c0-41cf-b82e-68922d5a2d86"]}],"mendeley":{"formattedCitation":"(Engels &amp; Freund, 2020)","plainTextFormattedCitation":"(Engels &amp; Freund, 2020)","previouslyFormattedCitation":"(Engels &amp; Freund, 2020)"},"properties":{"noteIndex":0},"schema":"https://github.com/citation-style-language/schema/raw/master/csl-citation.json"}</w:instrText>
      </w:r>
      <w:r w:rsidR="00FD70EE">
        <w:rPr>
          <w:rFonts w:ascii="Georgia" w:hAnsi="Georgia" w:cs="Times New Roman"/>
          <w:color w:val="222222"/>
          <w:lang w:val="en-US"/>
        </w:rPr>
        <w:fldChar w:fldCharType="separate"/>
      </w:r>
      <w:r w:rsidR="00FD70EE" w:rsidRPr="00FD70EE">
        <w:rPr>
          <w:rFonts w:ascii="Georgia" w:hAnsi="Georgia" w:cs="Times New Roman"/>
          <w:noProof/>
          <w:color w:val="222222"/>
          <w:lang w:val="en-US"/>
        </w:rPr>
        <w:t>(Engels &amp; Freund, 2020)</w:t>
      </w:r>
      <w:r w:rsidR="00FD70EE">
        <w:rPr>
          <w:rFonts w:ascii="Georgia" w:hAnsi="Georgia" w:cs="Times New Roman"/>
          <w:color w:val="222222"/>
          <w:lang w:val="en-US"/>
        </w:rPr>
        <w:fldChar w:fldCharType="end"/>
      </w:r>
      <w:r w:rsidRPr="005336ED">
        <w:rPr>
          <w:rFonts w:ascii="Georgia" w:hAnsi="Georgia" w:cs="Times New Roman"/>
          <w:color w:val="222222"/>
          <w:lang w:val="en-US"/>
        </w:rPr>
        <w:t>.</w:t>
      </w:r>
      <w:r w:rsidR="00FD70EE">
        <w:rPr>
          <w:rFonts w:ascii="Georgia" w:hAnsi="Georgia" w:cs="Times New Roman"/>
          <w:color w:val="222222"/>
          <w:lang w:val="en-US"/>
        </w:rPr>
        <w:t xml:space="preserve"> Olahraga </w:t>
      </w:r>
      <w:r w:rsidR="00FD70EE" w:rsidRPr="00FD70EE">
        <w:rPr>
          <w:rFonts w:ascii="Georgia" w:hAnsi="Georgia" w:cs="Times New Roman"/>
          <w:color w:val="222222"/>
          <w:lang w:val="en-US"/>
        </w:rPr>
        <w:t xml:space="preserve">selama masa kanak-kanak memiliki banyak </w:t>
      </w:r>
      <w:r w:rsidR="00FD70EE">
        <w:rPr>
          <w:rFonts w:ascii="Georgia" w:hAnsi="Georgia" w:cs="Times New Roman"/>
          <w:color w:val="222222"/>
          <w:lang w:val="en-US"/>
        </w:rPr>
        <w:t xml:space="preserve">keutungan </w:t>
      </w:r>
      <w:r w:rsidR="00FD70EE" w:rsidRPr="00FD70EE">
        <w:rPr>
          <w:rFonts w:ascii="Georgia" w:hAnsi="Georgia" w:cs="Times New Roman"/>
          <w:color w:val="222222"/>
          <w:lang w:val="en-US"/>
        </w:rPr>
        <w:t xml:space="preserve">pada kesehatan fisik dan mental serta perkembangan motorik dan kognitif </w:t>
      </w:r>
      <w:r w:rsidR="00E55050">
        <w:rPr>
          <w:rFonts w:ascii="Georgia" w:hAnsi="Georgia" w:cs="Times New Roman"/>
          <w:color w:val="222222"/>
          <w:lang w:val="en-US"/>
        </w:rPr>
        <w:fldChar w:fldCharType="begin" w:fldLock="1"/>
      </w:r>
      <w:r w:rsidR="006A29D7">
        <w:rPr>
          <w:rFonts w:ascii="Georgia" w:hAnsi="Georgia" w:cs="Times New Roman"/>
          <w:color w:val="222222"/>
          <w:lang w:val="en-US"/>
        </w:rPr>
        <w:instrText>ADDIN CSL_CITATION {"citationItems":[{"id":"ITEM-1","itemData":{"DOI":"10.1139/H2012-070","ISSN":"17155312","PMID":"22765840","abstract":"The early years represent a critical period for promoting physical activity. However, the amount of physical activity needed for healthy growth and development is not clear. Using the Grading of Recommendations Assessment, Development, and Evaluation (GRADE) framework, we aimed to present the best available evidence to determine the relationship between physical activity and measures of adiposity, bone and skeletal health, motor skill development, psychosocial health, cognitive development, and cardiometabolic health indicators in infants (1 month - 1 year), toddlers (1.1-3.0 years), and preschoolers (3.1-4.9 years). Online databases, personal libraries, and government documents were searched for relevant studies. Twenty-two articles, representing 18 unique studies and 12 742 enrolled participants, met inclusion criteria. The health indicators of interest were adiposity (n = 11), bone and skeletal health (n = 2), motor development (n = 4), psychosocial health (n = 3), cognitive development (n = 1), and cardiometabolic health indicators (n = 3); these indicators were pre-specified by an expert panel. Five unique studies involved infants, 2 involved toddlers, and 11 involved preschoolers. In infants, there was low- to moderate-quality evidence to suggest that increased or higher physical activity was positively associated with improved measures of adiposity, motor skill development, and cognitive development. In toddlers, there was moderate-quality evidence to suggest that increased or higher physical activity was positively associated with bone and skeletal health. In preschoolers, there was low- to high-quality evidence on the relationship between increased or higher physical activity and improved measures of adiposity, motor skill development, psychosocial health, and cardiometabolic health indicators. There was no serious inconsistency in any of the studies reviewed. This evidence can help to inform public health guidelines. (PROSPERO registration: CRD42011001243).","author":[{"dropping-particle":"","family":"Timmons","given":"Brian W.","non-dropping-particle":"","parse-names":false,"suffix":""},{"dropping-particle":"","family":"Leblanc","given":"Allana G.","non-dropping-particle":"","parse-names":false,"suffix":""},{"dropping-particle":"","family":"Carson","given":"Valerie","non-dropping-particle":"","parse-names":false,"suffix":""},{"dropping-particle":"","family":"Gorber","given":"Sarah Connor","non-dropping-particle":"","parse-names":false,"suffix":""},{"dropping-particle":"","family":"Dillman","given":"Carrie","non-dropping-particle":"","parse-names":false,"suffix":""},{"dropping-particle":"","family":"Janssen","given":"Ian","non-dropping-particle":"","parse-names":false,"suffix":""},{"dropping-particle":"","family":"Kho","given":"Michelle E.","non-dropping-particle":"","parse-names":false,"suffix":""},{"dropping-particle":"","family":"Spence","given":"John C.","non-dropping-particle":"","parse-names":false,"suffix":""},{"dropping-particle":"","family":"Stearns","given":"Jodie A.","non-dropping-particle":"","parse-names":false,"suffix":""},{"dropping-particle":"","family":"Tremblay","given":"Mark S.","non-dropping-particle":"","parse-names":false,"suffix":""}],"container-title":"Applied Physiology, Nutrition and Metabolism","id":"ITEM-1","issue":"4","issued":{"date-parts":[["2012"]]},"page":"773-792","title":"Systematic review of physical activity and health in the early years (aged 0-4 years)","type":"article-journal","volume":"37"},"uris":["http://www.mendeley.com/documents/?uuid=e70e5de4-804f-434d-836f-5adb001f8c6b"]}],"mendeley":{"formattedCitation":"(Timmons et al., 2012)","manualFormatting":"(Timmons et al., 2012","plainTextFormattedCitation":"(Timmons et al., 2012)","previouslyFormattedCitation":"(Timmons et al., 2012)"},"properties":{"noteIndex":0},"schema":"https://github.com/citation-style-language/schema/raw/master/csl-citation.json"}</w:instrText>
      </w:r>
      <w:r w:rsidR="00E55050">
        <w:rPr>
          <w:rFonts w:ascii="Georgia" w:hAnsi="Georgia" w:cs="Times New Roman"/>
          <w:color w:val="222222"/>
          <w:lang w:val="en-US"/>
        </w:rPr>
        <w:fldChar w:fldCharType="separate"/>
      </w:r>
      <w:r w:rsidR="00E55050" w:rsidRPr="00E55050">
        <w:rPr>
          <w:rFonts w:ascii="Georgia" w:hAnsi="Georgia" w:cs="Times New Roman"/>
          <w:noProof/>
          <w:color w:val="222222"/>
          <w:lang w:val="en-US"/>
        </w:rPr>
        <w:t>(Timmons et al., 2012</w:t>
      </w:r>
      <w:r w:rsidR="00E55050">
        <w:rPr>
          <w:rFonts w:ascii="Georgia" w:hAnsi="Georgia" w:cs="Times New Roman"/>
          <w:color w:val="222222"/>
          <w:lang w:val="en-US"/>
        </w:rPr>
        <w:fldChar w:fldCharType="end"/>
      </w:r>
      <w:r w:rsidR="00E55050">
        <w:rPr>
          <w:rFonts w:ascii="Georgia" w:hAnsi="Georgia" w:cs="Times New Roman"/>
          <w:color w:val="222222"/>
          <w:lang w:val="en-US"/>
        </w:rPr>
        <w:t xml:space="preserve">; </w:t>
      </w:r>
      <w:r w:rsidR="00FD70EE" w:rsidRPr="00FD70EE">
        <w:rPr>
          <w:rFonts w:ascii="Georgia" w:hAnsi="Georgia" w:cs="Times New Roman"/>
          <w:color w:val="222222"/>
          <w:lang w:val="en-US"/>
        </w:rPr>
        <w:t>WHO, 2016).</w:t>
      </w:r>
      <w:r w:rsidR="00EB67BF">
        <w:rPr>
          <w:rFonts w:ascii="Georgia" w:hAnsi="Georgia" w:cs="Times New Roman"/>
          <w:color w:val="222222"/>
          <w:lang w:val="en-US"/>
        </w:rPr>
        <w:t xml:space="preserve"> M</w:t>
      </w:r>
      <w:r w:rsidR="00EB67BF" w:rsidRPr="00EB67BF">
        <w:rPr>
          <w:rFonts w:ascii="Georgia" w:hAnsi="Georgia" w:cs="Times New Roman"/>
          <w:color w:val="222222"/>
          <w:lang w:val="en-US"/>
        </w:rPr>
        <w:t>en</w:t>
      </w:r>
      <w:r w:rsidR="00F75524">
        <w:rPr>
          <w:rFonts w:ascii="Georgia" w:hAnsi="Georgia" w:cs="Times New Roman"/>
          <w:color w:val="222222"/>
          <w:lang w:val="en-US"/>
        </w:rPr>
        <w:t xml:space="preserve">cegah kelebihan berat badan dan </w:t>
      </w:r>
      <w:r w:rsidR="00EB67BF" w:rsidRPr="00EB67BF">
        <w:rPr>
          <w:rFonts w:ascii="Georgia" w:hAnsi="Georgia" w:cs="Times New Roman"/>
          <w:color w:val="222222"/>
          <w:lang w:val="en-US"/>
        </w:rPr>
        <w:t>obesitas selama masa kanak-kanak dan remaja</w:t>
      </w:r>
      <w:r w:rsidR="006A29D7">
        <w:rPr>
          <w:rFonts w:ascii="Georgia" w:hAnsi="Georgia" w:cs="Times New Roman"/>
          <w:color w:val="222222"/>
          <w:lang w:val="en-US"/>
        </w:rPr>
        <w:t xml:space="preserve"> </w:t>
      </w:r>
      <w:r w:rsidR="006A29D7">
        <w:rPr>
          <w:rFonts w:ascii="Georgia" w:hAnsi="Georgia" w:cs="Times New Roman"/>
          <w:color w:val="222222"/>
          <w:lang w:val="en-US"/>
        </w:rPr>
        <w:fldChar w:fldCharType="begin" w:fldLock="1"/>
      </w:r>
      <w:r w:rsidR="00FF6C33">
        <w:rPr>
          <w:rFonts w:ascii="Georgia" w:hAnsi="Georgia" w:cs="Times New Roman"/>
          <w:color w:val="222222"/>
          <w:lang w:val="en-US"/>
        </w:rPr>
        <w:instrText>ADDIN CSL_CITATION {"citationItems":[{"id":"ITEM-1","itemData":{"DOI":"10.1080/02640414.2018.1499391","ISSN":"1466447X","PMID":"30009665","abstract":"Accelerometry is widely used to evaluate physical activity in toddlers however recommendations regarding wear time are needed to understand physical activity behaviours in this age group. This study aimed to determine the minimum wear time to reliably evaluate physical activity in toddlers. Children from the 3D Birth Cohort (n = 255, 49.8% boys, 2.1 ± 0.2 years) were asked to wear an accelerometer (GT3X+, ActiGraph) for 7 days. Physical activity was expressed in active time (min/day) and counts per minute (CPM). Single day intraclass correlation coefficients (ICCs) were calculated to assess the effect of varying minimal wear time on reliability estimates. The Spearman-Brown formula was used to determine wear time required to achieve reliability levels of 70%, 80% and 90%. For active time, a reliability of 72.1% was achieved with wearing the accelerometer for ≥ 4 days of ≥ 6 h, which comprised 85.9% of the sample. For CPM, ≥ 4 days of ≥ 6 h provided a reliability of 74.7% and comprised 85.9% of the children. Results differed slightly when girls and boys were analysed separately, but restricting analyses to children with a weekend day did not. In summary, a minimum of 4 days with ≥ 6 h of accelerometry data provides a reliable estimate of physical activity in 2-year toddlers.","author":[{"dropping-particle":"","family":"Bisson","given":"Michèle","non-dropping-particle":"","parse-names":false,"suffix":""},{"dropping-particle":"","family":"Tremblay","given":"Florence","non-dropping-particle":"","parse-names":false,"suffix":""},{"dropping-particle":"","family":"Pronovost","given":"Etienne","non-dropping-particle":"","parse-names":false,"suffix":""},{"dropping-particle":"","family":"Julien","given":"Anne Sophie","non-dropping-particle":"","parse-names":false,"suffix":""},{"dropping-particle":"","family":"Marc","given":"Isabelle","non-dropping-particle":"","parse-names":false,"suffix":""}],"container-title":"Journal of Sports Sciences","id":"ITEM-1","issue":"3","issued":{"date-parts":[["2019"]]},"page":"298-305","publisher":"Routledge","title":"Accelerometry to measure physical activity in toddlers: Determination of wear time requirements for a reliable estimate of physical activity","type":"article-journal","volume":"37"},"uris":["http://www.mendeley.com/documents/?uuid=2df6657a-62e6-4709-ad12-7bf7df976ed7"]}],"mendeley":{"formattedCitation":"(Bisson et al., 2019)","plainTextFormattedCitation":"(Bisson et al., 2019)","previouslyFormattedCitation":"(Bisson et al., 2019)"},"properties":{"noteIndex":0},"schema":"https://github.com/citation-style-language/schema/raw/master/csl-citation.json"}</w:instrText>
      </w:r>
      <w:r w:rsidR="006A29D7">
        <w:rPr>
          <w:rFonts w:ascii="Georgia" w:hAnsi="Georgia" w:cs="Times New Roman"/>
          <w:color w:val="222222"/>
          <w:lang w:val="en-US"/>
        </w:rPr>
        <w:fldChar w:fldCharType="separate"/>
      </w:r>
      <w:r w:rsidR="006A29D7" w:rsidRPr="006A29D7">
        <w:rPr>
          <w:rFonts w:ascii="Georgia" w:hAnsi="Georgia" w:cs="Times New Roman"/>
          <w:noProof/>
          <w:color w:val="222222"/>
          <w:lang w:val="en-US"/>
        </w:rPr>
        <w:t>(Bisson et al., 2019)</w:t>
      </w:r>
      <w:r w:rsidR="006A29D7">
        <w:rPr>
          <w:rFonts w:ascii="Georgia" w:hAnsi="Georgia" w:cs="Times New Roman"/>
          <w:color w:val="222222"/>
          <w:lang w:val="en-US"/>
        </w:rPr>
        <w:fldChar w:fldCharType="end"/>
      </w:r>
      <w:r w:rsidR="00F75524">
        <w:rPr>
          <w:rFonts w:ascii="Georgia" w:hAnsi="Georgia" w:cs="Times New Roman"/>
          <w:color w:val="222222"/>
          <w:lang w:val="en-US"/>
        </w:rPr>
        <w:t>.</w:t>
      </w:r>
      <w:r w:rsidR="006A29D7">
        <w:rPr>
          <w:rFonts w:ascii="Georgia" w:hAnsi="Georgia" w:cs="Times New Roman"/>
          <w:color w:val="222222"/>
          <w:lang w:val="en-US"/>
        </w:rPr>
        <w:t xml:space="preserve"> </w:t>
      </w:r>
      <w:r w:rsidR="000F6DAB">
        <w:rPr>
          <w:rFonts w:ascii="Georgia" w:hAnsi="Georgia" w:cs="Times New Roman"/>
          <w:color w:val="222222"/>
          <w:lang w:val="en-US"/>
        </w:rPr>
        <w:t>Aktivitas ini dapat terlihat bahwa 91% anak-anak 2-17 tahun, remaja laki-laki 99% dan 94% remaja perempuan di Amerika lebih memilih bermain game online.</w:t>
      </w:r>
      <w:r w:rsidR="000F6DAB" w:rsidRPr="000F6DAB">
        <w:t xml:space="preserve"> </w:t>
      </w:r>
      <w:r w:rsidR="000F6DAB">
        <w:rPr>
          <w:rFonts w:ascii="Georgia" w:hAnsi="Georgia" w:cs="Times New Roman"/>
          <w:color w:val="222222"/>
          <w:lang w:val="en-US"/>
        </w:rPr>
        <w:t>P</w:t>
      </w:r>
      <w:r w:rsidR="000F6DAB" w:rsidRPr="000F6DAB">
        <w:rPr>
          <w:rFonts w:ascii="Georgia" w:hAnsi="Georgia" w:cs="Times New Roman"/>
          <w:color w:val="222222"/>
          <w:lang w:val="en-US"/>
        </w:rPr>
        <w:t xml:space="preserve">otensi </w:t>
      </w:r>
      <w:r w:rsidR="000F6DAB">
        <w:rPr>
          <w:rFonts w:ascii="Georgia" w:hAnsi="Georgia" w:cs="Times New Roman"/>
          <w:color w:val="222222"/>
          <w:lang w:val="en-US"/>
        </w:rPr>
        <w:t>ini sangat ber</w:t>
      </w:r>
      <w:r w:rsidR="000F6DAB" w:rsidRPr="000F6DAB">
        <w:rPr>
          <w:rFonts w:ascii="Georgia" w:hAnsi="Georgia" w:cs="Times New Roman"/>
          <w:color w:val="222222"/>
          <w:lang w:val="en-US"/>
        </w:rPr>
        <w:t>bahaya yang terkait dengan agresi, kecanduan, dan depresi</w:t>
      </w:r>
      <w:r w:rsidR="004653DE">
        <w:rPr>
          <w:rFonts w:ascii="Georgia" w:hAnsi="Georgia" w:cs="Times New Roman"/>
          <w:color w:val="222222"/>
          <w:lang w:val="en-US"/>
        </w:rPr>
        <w:t xml:space="preserve"> </w:t>
      </w:r>
      <w:r w:rsidR="00041533">
        <w:rPr>
          <w:rFonts w:ascii="Georgia" w:hAnsi="Georgia" w:cs="Times New Roman"/>
          <w:color w:val="222222"/>
          <w:lang w:val="en-US"/>
        </w:rPr>
        <w:fldChar w:fldCharType="begin" w:fldLock="1"/>
      </w:r>
      <w:r w:rsidR="00041533">
        <w:rPr>
          <w:rFonts w:ascii="Georgia" w:hAnsi="Georgia" w:cs="Times New Roman"/>
          <w:color w:val="222222"/>
          <w:lang w:val="en-US"/>
        </w:rPr>
        <w:instrText>ADDIN CSL_CITATION {"citationItems":[{"id":"ITEM-1","itemData":{"DOI":"10.1016/j.paid.2011.03.024","ISSN":"01918869","abstract":"This study investigated whether the amount and circadian time of habitual computer game playing were related to depressive symptoms in adolescents and young adults. We expected that habitual late playing relates to more depressive symptoms beyond the effect of the total time of computer game playing as playing at night may involve short, irregular, and disturbed sleep as well as misalignment of the circadian rhythm. 646 adolescents and young adults (ages 13-30; 90.9% males) who play the internet role-playing game World of Warcraft completed an online questionnaire. Habitual computer game playing between 10. pm and 6. am was related to an increased risk of high depression scores independent of the total amount of playing. Adolescents (ages 13-17. years) were most vulnerable when habitually playing during early night (i.e., 10-12. pm), while emergent adults (ages 18-22. years) showed more vulnerability when habitually playing late at night (i.e., after 2. am). The effect was partly mediated by daytime sleepiness but not by sleep loss or insomnia problems. © 2011 Elsevier Ltd.","author":[{"dropping-particle":"","family":"Lemola","given":"Sakari","non-dropping-particle":"","parse-names":false,"suffix":""},{"dropping-particle":"","family":"Brand","given":"Serge","non-dropping-particle":"","parse-names":false,"suffix":""},{"dropping-particle":"","family":"Vogler","given":"Nicole","non-dropping-particle":"","parse-names":false,"suffix":""},{"dropping-particle":"","family":"Perkinson-Gloor","given":"Nadine","non-dropping-particle":"","parse-names":false,"suffix":""},{"dropping-particle":"","family":"Allemand","given":"Mathias","non-dropping-particle":"","parse-names":false,"suffix":""},{"dropping-particle":"","family":"Grob","given":"Alexander","non-dropping-particle":"","parse-names":false,"suffix":""}],"container-title":"Personality and Individual Differences","id":"ITEM-1","issue":"2","issued":{"date-parts":[["2011"]]},"page":"117-122","publisher":"Elsevier Ltd","title":"Habitual computer game playing at night is related to depressive symptoms","type":"article-journal","volume":"51"},"uris":["http://www.mendeley.com/documents/?uuid=81736c05-4023-446b-92da-74cc9d1d0186"]}],"mendeley":{"formattedCitation":"(Lemola et al., 2011)","manualFormatting":"(Lemola et al., 2011","plainTextFormattedCitation":"(Lemola et al., 2011)","previouslyFormattedCitation":"(Lemola et al., 2011)"},"properties":{"noteIndex":0},"schema":"https://github.com/citation-style-language/schema/raw/master/csl-citation.json"}</w:instrText>
      </w:r>
      <w:r w:rsidR="00041533">
        <w:rPr>
          <w:rFonts w:ascii="Georgia" w:hAnsi="Georgia" w:cs="Times New Roman"/>
          <w:color w:val="222222"/>
          <w:lang w:val="en-US"/>
        </w:rPr>
        <w:fldChar w:fldCharType="separate"/>
      </w:r>
      <w:r w:rsidR="00041533" w:rsidRPr="00041533">
        <w:rPr>
          <w:rFonts w:ascii="Georgia" w:hAnsi="Georgia" w:cs="Times New Roman"/>
          <w:noProof/>
          <w:color w:val="222222"/>
          <w:lang w:val="en-US"/>
        </w:rPr>
        <w:t>(Lemola et al., 2011</w:t>
      </w:r>
      <w:r w:rsidR="00041533">
        <w:rPr>
          <w:rFonts w:ascii="Georgia" w:hAnsi="Georgia" w:cs="Times New Roman"/>
          <w:color w:val="222222"/>
          <w:lang w:val="en-US"/>
        </w:rPr>
        <w:fldChar w:fldCharType="end"/>
      </w:r>
      <w:r w:rsidR="00041533">
        <w:rPr>
          <w:rFonts w:ascii="Georgia" w:hAnsi="Georgia" w:cs="Times New Roman"/>
          <w:color w:val="222222"/>
          <w:lang w:val="en-US"/>
        </w:rPr>
        <w:t xml:space="preserve">; </w:t>
      </w:r>
      <w:r w:rsidR="00041533">
        <w:rPr>
          <w:rFonts w:ascii="Georgia" w:hAnsi="Georgia" w:cs="Times New Roman"/>
          <w:color w:val="222222"/>
          <w:lang w:val="en-US"/>
        </w:rPr>
        <w:fldChar w:fldCharType="begin" w:fldLock="1"/>
      </w:r>
      <w:r w:rsidR="00EC4AEE">
        <w:rPr>
          <w:rFonts w:ascii="Georgia" w:hAnsi="Georgia" w:cs="Times New Roman"/>
          <w:color w:val="222222"/>
          <w:lang w:val="en-US"/>
        </w:rPr>
        <w:instrText>ADDIN CSL_CITATION {"citationItems":[{"id":"ITEM-1","itemData":{"DOI":"10.1007/s11031-012-9284-7","ISSN":"01467239","abstract":"Although a considerable amount of attention has examined potential positive and negative consequences of video game play in children, relatively little research has examined children's motivations for using games. The current study hopes to address this gap in the literature by examining children's motivations for video game play in a large sample of youth (n = 1254). Results indicated that video game use was common, and often a social activity. Social play was mainly predicted by motivations related to socialization, fun/challenge and current stress level. Preference for violent games was more common in males and predicted by fun/challenge motivations and beliefs such games could be cathartic for stress. Children with clinically elevated levels of depressive and ADHD symptoms did not play more games, or more violent games, but were more inclined to endorse catharsis motivations for video game use. Results from this study provide understanding of what motivates children to use games, and how the motivations of children with symptoms of psychosocial problems (as identified via subscales of the Pediatric Symptom Checklist) may differ from others. © 2012 Springer Science+Business Media, LLC.","author":[{"dropping-particle":"","family":"Ferguson","given":"Christopher J.","non-dropping-particle":"","parse-names":false,"suffix":""},{"dropping-particle":"","family":"Olson","given":"Cheryl K.","non-dropping-particle":"","parse-names":false,"suffix":""}],"container-title":"Motivation and Emotion","id":"ITEM-1","issue":"1","issued":{"date-parts":[["2013"]]},"page":"154-164","title":"Friends, fun, frustration and fantasy: Child motivations for video game play","type":"article-journal","volume":"37"},"uris":["http://www.mendeley.com/documents/?uuid=99e0b031-1a18-4bc1-9cf2-5877732062b6"]}],"mendeley":{"formattedCitation":"(Ferguson &amp; Olson, 2013)","manualFormatting":"Ferguson &amp; Olson, 2013)","plainTextFormattedCitation":"(Ferguson &amp; Olson, 2013)","previouslyFormattedCitation":"(Ferguson &amp; Olson, 2013)"},"properties":{"noteIndex":0},"schema":"https://github.com/citation-style-language/schema/raw/master/csl-citation.json"}</w:instrText>
      </w:r>
      <w:r w:rsidR="00041533">
        <w:rPr>
          <w:rFonts w:ascii="Georgia" w:hAnsi="Georgia" w:cs="Times New Roman"/>
          <w:color w:val="222222"/>
          <w:lang w:val="en-US"/>
        </w:rPr>
        <w:fldChar w:fldCharType="separate"/>
      </w:r>
      <w:r w:rsidR="00041533" w:rsidRPr="00041533">
        <w:rPr>
          <w:rFonts w:ascii="Georgia" w:hAnsi="Georgia" w:cs="Times New Roman"/>
          <w:noProof/>
          <w:color w:val="222222"/>
          <w:lang w:val="en-US"/>
        </w:rPr>
        <w:t>Ferguson &amp; Olson, 2013)</w:t>
      </w:r>
      <w:r w:rsidR="00041533">
        <w:rPr>
          <w:rFonts w:ascii="Georgia" w:hAnsi="Georgia" w:cs="Times New Roman"/>
          <w:color w:val="222222"/>
          <w:lang w:val="en-US"/>
        </w:rPr>
        <w:fldChar w:fldCharType="end"/>
      </w:r>
      <w:r w:rsidR="00041533">
        <w:rPr>
          <w:rFonts w:ascii="Georgia" w:hAnsi="Georgia" w:cs="Times New Roman"/>
          <w:color w:val="222222"/>
          <w:lang w:val="en-US"/>
        </w:rPr>
        <w:t xml:space="preserve">. </w:t>
      </w:r>
      <w:proofErr w:type="gramStart"/>
      <w:r w:rsidR="00041533">
        <w:rPr>
          <w:rFonts w:ascii="Georgia" w:hAnsi="Georgia" w:cs="Times New Roman"/>
          <w:color w:val="222222"/>
          <w:lang w:val="en-US"/>
        </w:rPr>
        <w:t xml:space="preserve">Dengan keadaan seperti ini, makan </w:t>
      </w:r>
      <w:r w:rsidR="006A29D7">
        <w:rPr>
          <w:rFonts w:ascii="Georgia" w:hAnsi="Georgia" w:cs="Times New Roman"/>
          <w:color w:val="222222"/>
          <w:lang w:val="en-US"/>
        </w:rPr>
        <w:t xml:space="preserve">guru harus </w:t>
      </w:r>
      <w:r w:rsidR="006A29D7">
        <w:rPr>
          <w:rFonts w:ascii="Georgia" w:hAnsi="Georgia" w:cs="Times New Roman"/>
          <w:color w:val="222222"/>
          <w:lang w:val="en-US"/>
        </w:rPr>
        <w:lastRenderedPageBreak/>
        <w:t>mendesain perangkat pembelajaran yang berorientasi pada permainan salah satu</w:t>
      </w:r>
      <w:r w:rsidR="008D7C26">
        <w:rPr>
          <w:rFonts w:ascii="Georgia" w:hAnsi="Georgia" w:cs="Times New Roman"/>
          <w:color w:val="222222"/>
          <w:lang w:val="en-US"/>
        </w:rPr>
        <w:t>nya adalah pembelajaran kooperatif tipe</w:t>
      </w:r>
      <w:r w:rsidR="006A29D7">
        <w:rPr>
          <w:rFonts w:ascii="Georgia" w:hAnsi="Georgia" w:cs="Times New Roman"/>
          <w:color w:val="222222"/>
          <w:lang w:val="en-US"/>
        </w:rPr>
        <w:t xml:space="preserve"> TGT bagi siswa.</w:t>
      </w:r>
      <w:proofErr w:type="gramEnd"/>
      <w:r w:rsidR="006A29D7">
        <w:rPr>
          <w:rFonts w:ascii="Georgia" w:hAnsi="Georgia" w:cs="Times New Roman"/>
          <w:color w:val="222222"/>
          <w:lang w:val="en-US"/>
        </w:rPr>
        <w:t xml:space="preserve"> </w:t>
      </w:r>
      <w:r w:rsidR="00B43467">
        <w:rPr>
          <w:rFonts w:ascii="Georgia" w:hAnsi="Georgia" w:cs="Times New Roman"/>
          <w:color w:val="222222"/>
          <w:lang w:val="en-US"/>
        </w:rPr>
        <w:t xml:space="preserve">Hal ini dapat terlihat bahwa pada beberapa tahun terakhir minat untuk pembelajaran yang berbasis pada permainan bagi siswa telah meningkat </w:t>
      </w:r>
      <w:r w:rsidR="00B43467">
        <w:rPr>
          <w:rFonts w:ascii="Georgia" w:hAnsi="Georgia" w:cs="Times New Roman"/>
          <w:color w:val="222222"/>
          <w:lang w:val="en-US"/>
        </w:rPr>
        <w:fldChar w:fldCharType="begin" w:fldLock="1"/>
      </w:r>
      <w:r w:rsidR="00B43467">
        <w:rPr>
          <w:rFonts w:ascii="Georgia" w:hAnsi="Georgia" w:cs="Times New Roman"/>
          <w:color w:val="222222"/>
          <w:lang w:val="en-US"/>
        </w:rPr>
        <w:instrText>ADDIN CSL_CITATION {"citationItems":[{"id":"ITEM-1","itemData":{"DOI":"10.1016/j.sbspro.2009.01.027","ISSN":"18770428","abstract":"The purpose of this research is to determine the differences of attitudes of students, who played the educational computer games developed for this research, towards both mathematics course and educational computer games. For this reason, researchers developed two educational computer games, Proportional Tetris and Proportional Clown, which are about ratio and proportion topic in mathematics education. Researchers used a survey including a demographic data form and two likert-like scales about both mathematics course and educational computer games. Educational computer games and the survey were applied to 176 students in two primary schools in Balikesir, Turkey. Whether educational computer games affected the students' attitudes towards both mathematics course and educational computer games was tested with Paired Samples t test. Whether there is a meaningful relationship between students' attitudes towards mathematics course and students' attitudes towards educational computer games was tested with Pearson Correlation test. As a result, students' attitudes towards both mathematics course and educational computer games became positive. But there wasn't any change in attitudes of students who played Proportional Tetris and Proportional Clown. © 2009.","author":[{"dropping-particle":"","family":"Çankaya","given":"Serkan","non-dropping-particle":"","parse-names":false,"suffix":""},{"dropping-particle":"","family":"Karamete","given":"Ayşen","non-dropping-particle":"","parse-names":false,"suffix":""}],"container-title":"Procedia - Social and Behavioral Sciences","id":"ITEM-1","issue":"1","issued":{"date-parts":[["2009"]]},"page":"145-149","title":"The effects of educational computer games on students' attitudes towards mathematics course and educational computer games","type":"article-journal","volume":"1"},"uris":["http://www.mendeley.com/documents/?uuid=cf19dc12-ee12-4bd2-8cae-6a2b6e51ff75"]}],"mendeley":{"formattedCitation":"(Çankaya &amp; Karamete, 2009)","manualFormatting":"(Çankaya &amp; Karamete, 2009","plainTextFormattedCitation":"(Çankaya &amp; Karamete, 2009)","previouslyFormattedCitation":"(Çankaya &amp; Karamete, 2009)"},"properties":{"noteIndex":0},"schema":"https://github.com/citation-style-language/schema/raw/master/csl-citation.json"}</w:instrText>
      </w:r>
      <w:r w:rsidR="00B43467">
        <w:rPr>
          <w:rFonts w:ascii="Georgia" w:hAnsi="Georgia" w:cs="Times New Roman"/>
          <w:color w:val="222222"/>
          <w:lang w:val="en-US"/>
        </w:rPr>
        <w:fldChar w:fldCharType="separate"/>
      </w:r>
      <w:r w:rsidR="00B43467" w:rsidRPr="00B43467">
        <w:rPr>
          <w:rFonts w:ascii="Georgia" w:hAnsi="Georgia" w:cs="Times New Roman"/>
          <w:noProof/>
          <w:color w:val="222222"/>
          <w:lang w:val="en-US"/>
        </w:rPr>
        <w:t>(Çankaya &amp; Karamete, 2009</w:t>
      </w:r>
      <w:r w:rsidR="00B43467">
        <w:rPr>
          <w:rFonts w:ascii="Georgia" w:hAnsi="Georgia" w:cs="Times New Roman"/>
          <w:color w:val="222222"/>
          <w:lang w:val="en-US"/>
        </w:rPr>
        <w:fldChar w:fldCharType="end"/>
      </w:r>
      <w:r w:rsidR="00B43467">
        <w:rPr>
          <w:rFonts w:ascii="Georgia" w:hAnsi="Georgia" w:cs="Times New Roman"/>
          <w:color w:val="222222"/>
          <w:lang w:val="en-US"/>
        </w:rPr>
        <w:t xml:space="preserve">; </w:t>
      </w:r>
      <w:r w:rsidR="00B43467">
        <w:rPr>
          <w:rFonts w:ascii="Georgia" w:hAnsi="Georgia" w:cs="Times New Roman"/>
          <w:color w:val="222222"/>
          <w:lang w:val="en-US"/>
        </w:rPr>
        <w:fldChar w:fldCharType="begin" w:fldLock="1"/>
      </w:r>
      <w:r w:rsidR="00041533">
        <w:rPr>
          <w:rFonts w:ascii="Georgia" w:hAnsi="Georgia" w:cs="Times New Roman"/>
          <w:color w:val="222222"/>
          <w:lang w:val="en-US"/>
        </w:rPr>
        <w:instrText>ADDIN CSL_CITATION {"citationItems":[{"id":"ITEM-1","itemData":{"DOI":"10.1186/s41239-017-0062-1","ISBN":"4123901700","ISSN":"23659440","abstract":"The focus of higher education institutions is the preparation of future professionals. To achieve this aim, innovative teaching methods are often deployed, including games and simulations, which form the subject of this paper. As the field of digital games and simulations is ever maturing, this paper attempts to systematically review the literature relevant to games and simulation pedagogy in higher education. Two researchers collaborate to apply a qualitative method, coding and synthesizing the results using multiple criteria. The main objective is to study the impact of games and simulations with regard to achieving specific learning objectives. On balance, results indicate that games and/or simulations have a positive impact on learning goals. The researchers identify three learning outcomes when integrating games into the learning process: cognitive, behavioural, and affective. As a final step, the authors consolidate evidence for the benefit of academics and practitioners in higher education interested in the efficient use of games and simulations for pedagogical purposes. Such evidence also provides potential options and pathways for future research.","author":[{"dropping-particle":"","family":"Vlachopoulos","given":"Dimitrios","non-dropping-particle":"","parse-names":false,"suffix":""},{"dropping-particle":"","family":"Makri","given":"Agoritsa","non-dropping-particle":"","parse-names":false,"suffix":""}],"container-title":"International Journal of Educational Technology in Higher Education","id":"ITEM-1","issue":"1","issued":{"date-parts":[["2017"]]},"title":"The effect of games and simulations on higher education: a systematic literature review","type":"book","volume":"14"},"uris":["http://www.mendeley.com/documents/?uuid=7bce87f4-c5b1-4c4b-876d-ef139898a47d"]}],"mendeley":{"formattedCitation":"(Vlachopoulos &amp; Makri, 2017)","manualFormatting":"Vlachopoulos &amp; Makri, 2017)","plainTextFormattedCitation":"(Vlachopoulos &amp; Makri, 2017)","previouslyFormattedCitation":"(Vlachopoulos &amp; Makri, 2017)"},"properties":{"noteIndex":0},"schema":"https://github.com/citation-style-language/schema/raw/master/csl-citation.json"}</w:instrText>
      </w:r>
      <w:r w:rsidR="00B43467">
        <w:rPr>
          <w:rFonts w:ascii="Georgia" w:hAnsi="Georgia" w:cs="Times New Roman"/>
          <w:color w:val="222222"/>
          <w:lang w:val="en-US"/>
        </w:rPr>
        <w:fldChar w:fldCharType="separate"/>
      </w:r>
      <w:r w:rsidR="00B43467" w:rsidRPr="00B43467">
        <w:rPr>
          <w:rFonts w:ascii="Georgia" w:hAnsi="Georgia" w:cs="Times New Roman"/>
          <w:noProof/>
          <w:color w:val="222222"/>
          <w:lang w:val="en-US"/>
        </w:rPr>
        <w:t>Vlachopoulos &amp; Makri, 2017)</w:t>
      </w:r>
      <w:r w:rsidR="00B43467">
        <w:rPr>
          <w:rFonts w:ascii="Georgia" w:hAnsi="Georgia" w:cs="Times New Roman"/>
          <w:color w:val="222222"/>
          <w:lang w:val="en-US"/>
        </w:rPr>
        <w:fldChar w:fldCharType="end"/>
      </w:r>
      <w:r w:rsidR="00B43467">
        <w:rPr>
          <w:rFonts w:ascii="Georgia" w:hAnsi="Georgia" w:cs="Times New Roman"/>
          <w:color w:val="222222"/>
          <w:lang w:val="en-US"/>
        </w:rPr>
        <w:t xml:space="preserve">. </w:t>
      </w:r>
      <w:r w:rsidR="006A29D7">
        <w:rPr>
          <w:rFonts w:ascii="Georgia" w:hAnsi="Georgia" w:cs="Times New Roman"/>
          <w:color w:val="222222"/>
          <w:lang w:val="en-US"/>
        </w:rPr>
        <w:t xml:space="preserve">Pembelajaran </w:t>
      </w:r>
      <w:r w:rsidR="006A29D7" w:rsidRPr="006A29D7">
        <w:rPr>
          <w:rFonts w:ascii="Georgia" w:hAnsi="Georgia" w:cs="Times New Roman"/>
          <w:color w:val="222222"/>
          <w:lang w:val="en-US"/>
        </w:rPr>
        <w:t xml:space="preserve">pendidikan jasmani </w:t>
      </w:r>
      <w:r w:rsidR="00367FD6">
        <w:rPr>
          <w:rFonts w:ascii="Georgia" w:hAnsi="Georgia" w:cs="Times New Roman"/>
          <w:color w:val="222222"/>
          <w:lang w:val="en-US"/>
        </w:rPr>
        <w:t xml:space="preserve">lebih </w:t>
      </w:r>
      <w:r w:rsidR="006A29D7" w:rsidRPr="006A29D7">
        <w:rPr>
          <w:rFonts w:ascii="Georgia" w:hAnsi="Georgia" w:cs="Times New Roman"/>
          <w:color w:val="222222"/>
          <w:lang w:val="en-US"/>
        </w:rPr>
        <w:t>memanfa</w:t>
      </w:r>
      <w:r w:rsidR="00C20E80">
        <w:rPr>
          <w:rFonts w:ascii="Georgia" w:hAnsi="Georgia" w:cs="Times New Roman"/>
          <w:color w:val="222222"/>
          <w:lang w:val="en-US"/>
        </w:rPr>
        <w:t xml:space="preserve">atkan berbagai kegiatan jasmani </w:t>
      </w:r>
      <w:r w:rsidR="006A29D7" w:rsidRPr="006A29D7">
        <w:rPr>
          <w:rFonts w:ascii="Georgia" w:hAnsi="Georgia" w:cs="Times New Roman"/>
          <w:color w:val="222222"/>
          <w:lang w:val="en-US"/>
        </w:rPr>
        <w:t>untuk mengh</w:t>
      </w:r>
      <w:r w:rsidR="00C20E80">
        <w:rPr>
          <w:rFonts w:ascii="Georgia" w:hAnsi="Georgia" w:cs="Times New Roman"/>
          <w:color w:val="222222"/>
          <w:lang w:val="en-US"/>
        </w:rPr>
        <w:t xml:space="preserve">asilkan perubahan holistik berupa peningkatan </w:t>
      </w:r>
      <w:r w:rsidR="006A29D7" w:rsidRPr="006A29D7">
        <w:rPr>
          <w:rFonts w:ascii="Georgia" w:hAnsi="Georgia" w:cs="Times New Roman"/>
          <w:color w:val="222222"/>
          <w:lang w:val="en-US"/>
        </w:rPr>
        <w:t xml:space="preserve">kualitas </w:t>
      </w:r>
      <w:r w:rsidR="00C20E80">
        <w:rPr>
          <w:rFonts w:ascii="Georgia" w:hAnsi="Georgia" w:cs="Times New Roman"/>
          <w:color w:val="222222"/>
          <w:lang w:val="en-US"/>
        </w:rPr>
        <w:t>fisik individu, tetapi juga dalam mental dan emosional</w:t>
      </w:r>
      <w:r w:rsidR="00FF6C33">
        <w:rPr>
          <w:rFonts w:ascii="Georgia" w:hAnsi="Georgia" w:cs="Times New Roman"/>
          <w:color w:val="222222"/>
          <w:lang w:val="en-US"/>
        </w:rPr>
        <w:t xml:space="preserve"> </w:t>
      </w:r>
      <w:r w:rsidR="00FF6C33">
        <w:rPr>
          <w:rFonts w:ascii="Georgia" w:hAnsi="Georgia" w:cs="Times New Roman"/>
          <w:color w:val="222222"/>
          <w:lang w:val="en-US"/>
        </w:rPr>
        <w:fldChar w:fldCharType="begin" w:fldLock="1"/>
      </w:r>
      <w:r w:rsidR="00B43467">
        <w:rPr>
          <w:rFonts w:ascii="Georgia" w:hAnsi="Georgia" w:cs="Times New Roman"/>
          <w:color w:val="222222"/>
          <w:lang w:val="en-US"/>
        </w:rPr>
        <w:instrText>ADDIN CSL_CITATION {"citationItems":[{"id":"ITEM-1","itemData":{"DOI":"10.1080/02640414.2016.1178393","ISSN":"1466447X","PMID":"27133455","abstract":"Approximately 3.2 million people die of non-communicable diseases (NCD) each year due to insufficient physical activity. Physical activity guidelines are possibly perceived as too demanding and might thus pose a barrier. We addressed the question if a more stable physical activity pattern is associated with higher levels of health-related fitness than one with high and low intensities, regardless of the physical activity level (PAL). Physical activity was objectively measured in 296 men and women (53.7 ± 8.94 years) with the SenseWear Pro Armband®. Using this data, the PAL and a Gini index were calculated to report the physical activity pattern. Health-related fitness was expressed as a fitness index. PAL was weakly correlated to health-related fitness (r = 0.38, P &lt;.0001). The Gini index was also weakly correlated to the fitness index (r = 0.23, P &lt;.0001). Results of the ANCOVA showed that participants in the first quartile of PAL always scored significantly lower for health-related fitness than participants in quartile four, after adjustment for the Gini index. These results suggest that as long as the volume of physical activity is high, health-related fitness will be high as well, independent of the physical activity pattern or variability in intensities throughout the day.","author":[{"dropping-particle":"","family":"Knaeps","given":"Sara","non-dropping-particle":"","parse-names":false,"suffix":""},{"dropping-particle":"","family":"Bourgois","given":"Jan G.","non-dropping-particle":"","parse-names":false,"suffix":""},{"dropping-particle":"","family":"Charlier","given":"Ruben","non-dropping-particle":"","parse-names":false,"suffix":""},{"dropping-particle":"","family":"Mertens","given":"Evelien","non-dropping-particle":"","parse-names":false,"suffix":""},{"dropping-particle":"","family":"Lefevre","given":"Johan","non-dropping-particle":"","parse-names":false,"suffix":""}],"container-title":"Journal of Sports Sciences","id":"ITEM-1","issue":"6","issued":{"date-parts":[["2017"]]},"page":"539-546","title":"Associations between physical activity and health-related fitness–volume versus pattern","type":"article-journal","volume":"35"},"uris":["http://www.mendeley.com/documents/?uuid=6d5de2e6-1735-473d-8e0c-ffcd36d39a3e"]}],"mendeley":{"formattedCitation":"(Knaeps et al., 2017)","plainTextFormattedCitation":"(Knaeps et al., 2017)","previouslyFormattedCitation":"(Knaeps et al., 2017)"},"properties":{"noteIndex":0},"schema":"https://github.com/citation-style-language/schema/raw/master/csl-citation.json"}</w:instrText>
      </w:r>
      <w:r w:rsidR="00FF6C33">
        <w:rPr>
          <w:rFonts w:ascii="Georgia" w:hAnsi="Georgia" w:cs="Times New Roman"/>
          <w:color w:val="222222"/>
          <w:lang w:val="en-US"/>
        </w:rPr>
        <w:fldChar w:fldCharType="separate"/>
      </w:r>
      <w:r w:rsidR="00FF6C33" w:rsidRPr="00FF6C33">
        <w:rPr>
          <w:rFonts w:ascii="Georgia" w:hAnsi="Georgia" w:cs="Times New Roman"/>
          <w:noProof/>
          <w:color w:val="222222"/>
          <w:lang w:val="en-US"/>
        </w:rPr>
        <w:t>(Knaeps et al., 2017)</w:t>
      </w:r>
      <w:r w:rsidR="00FF6C33">
        <w:rPr>
          <w:rFonts w:ascii="Georgia" w:hAnsi="Georgia" w:cs="Times New Roman"/>
          <w:color w:val="222222"/>
          <w:lang w:val="en-US"/>
        </w:rPr>
        <w:fldChar w:fldCharType="end"/>
      </w:r>
      <w:r w:rsidR="00C20E80">
        <w:rPr>
          <w:rFonts w:ascii="Georgia" w:hAnsi="Georgia" w:cs="Times New Roman"/>
          <w:color w:val="222222"/>
          <w:lang w:val="en-US"/>
        </w:rPr>
        <w:t>.</w:t>
      </w:r>
    </w:p>
    <w:p w14:paraId="32881230" w14:textId="17D631F9" w:rsidR="004653DE" w:rsidRDefault="004653DE" w:rsidP="005A1346">
      <w:pPr>
        <w:spacing w:after="0" w:line="240" w:lineRule="auto"/>
        <w:ind w:firstLine="567"/>
        <w:jc w:val="both"/>
        <w:rPr>
          <w:rFonts w:ascii="Georgia" w:hAnsi="Georgia" w:cs="Times New Roman"/>
          <w:color w:val="222222"/>
          <w:lang w:val="en-US"/>
        </w:rPr>
      </w:pPr>
      <w:proofErr w:type="gramStart"/>
      <w:r w:rsidRPr="004653DE">
        <w:rPr>
          <w:rFonts w:ascii="Georgia" w:hAnsi="Georgia" w:cs="Times New Roman"/>
          <w:color w:val="222222"/>
          <w:lang w:val="en-US"/>
        </w:rPr>
        <w:t>P</w:t>
      </w:r>
      <w:r w:rsidR="00EC4AEE">
        <w:rPr>
          <w:rFonts w:ascii="Georgia" w:hAnsi="Georgia" w:cs="Times New Roman"/>
          <w:color w:val="222222"/>
          <w:lang w:val="en-US"/>
        </w:rPr>
        <w:t xml:space="preserve">embelajaran yang </w:t>
      </w:r>
      <w:r w:rsidR="008D7C26">
        <w:rPr>
          <w:rFonts w:ascii="Georgia" w:hAnsi="Georgia" w:cs="Times New Roman"/>
          <w:color w:val="222222"/>
          <w:lang w:val="en-US"/>
        </w:rPr>
        <w:t xml:space="preserve">berupa </w:t>
      </w:r>
      <w:r w:rsidR="00EC4AEE">
        <w:rPr>
          <w:rFonts w:ascii="Georgia" w:hAnsi="Georgia" w:cs="Times New Roman"/>
          <w:color w:val="222222"/>
          <w:lang w:val="en-US"/>
        </w:rPr>
        <w:t xml:space="preserve">fisik, kognitif, </w:t>
      </w:r>
      <w:r w:rsidRPr="004653DE">
        <w:rPr>
          <w:rFonts w:ascii="Georgia" w:hAnsi="Georgia" w:cs="Times New Roman"/>
          <w:color w:val="222222"/>
          <w:lang w:val="en-US"/>
        </w:rPr>
        <w:t xml:space="preserve">sosial, dan </w:t>
      </w:r>
      <w:r>
        <w:rPr>
          <w:rFonts w:ascii="Georgia" w:hAnsi="Georgia" w:cs="Times New Roman"/>
          <w:color w:val="222222"/>
          <w:lang w:val="en-US"/>
        </w:rPr>
        <w:t xml:space="preserve">afektif diposisikan sebagai </w:t>
      </w:r>
      <w:r w:rsidRPr="004653DE">
        <w:rPr>
          <w:rFonts w:ascii="Georgia" w:hAnsi="Georgia" w:cs="Times New Roman"/>
          <w:color w:val="222222"/>
          <w:lang w:val="en-US"/>
        </w:rPr>
        <w:t>hasil belajar yang sah dari pendidikan jasmani.</w:t>
      </w:r>
      <w:proofErr w:type="gramEnd"/>
      <w:r>
        <w:rPr>
          <w:rFonts w:ascii="Georgia" w:hAnsi="Georgia" w:cs="Times New Roman"/>
          <w:color w:val="222222"/>
          <w:lang w:val="en-US"/>
        </w:rPr>
        <w:t xml:space="preserve"> </w:t>
      </w:r>
      <w:r w:rsidRPr="004653DE">
        <w:rPr>
          <w:rFonts w:ascii="Georgia" w:hAnsi="Georgia" w:cs="Times New Roman"/>
          <w:color w:val="222222"/>
          <w:lang w:val="en-US"/>
        </w:rPr>
        <w:t>Telah dikemukakan bahwa keempat hasil belajar ini dituju</w:t>
      </w:r>
      <w:r w:rsidR="00EF1266">
        <w:rPr>
          <w:rFonts w:ascii="Georgia" w:hAnsi="Georgia" w:cs="Times New Roman"/>
          <w:color w:val="222222"/>
          <w:lang w:val="en-US"/>
        </w:rPr>
        <w:t>k</w:t>
      </w:r>
      <w:r w:rsidRPr="004653DE">
        <w:rPr>
          <w:rFonts w:ascii="Georgia" w:hAnsi="Georgia" w:cs="Times New Roman"/>
          <w:color w:val="222222"/>
          <w:lang w:val="en-US"/>
        </w:rPr>
        <w:t>kan untuk memfasilitasi keterlibatan siswa dengan kehidupan yang aktif secara fisik</w:t>
      </w:r>
      <w:r w:rsidR="00EC4AEE">
        <w:rPr>
          <w:rFonts w:ascii="Georgia" w:hAnsi="Georgia" w:cs="Times New Roman"/>
          <w:color w:val="222222"/>
          <w:lang w:val="en-US"/>
        </w:rPr>
        <w:t xml:space="preserve"> </w:t>
      </w:r>
      <w:r w:rsidR="00EC4AEE">
        <w:rPr>
          <w:rFonts w:ascii="Georgia" w:hAnsi="Georgia" w:cs="Times New Roman"/>
          <w:color w:val="222222"/>
          <w:lang w:val="en-US"/>
        </w:rPr>
        <w:fldChar w:fldCharType="begin" w:fldLock="1"/>
      </w:r>
      <w:r w:rsidR="00EC4AEE">
        <w:rPr>
          <w:rFonts w:ascii="Georgia" w:hAnsi="Georgia" w:cs="Times New Roman"/>
          <w:color w:val="222222"/>
          <w:lang w:val="en-US"/>
        </w:rPr>
        <w:instrText>ADDIN CSL_CITATION {"citationItems":[{"id":"ITEM-1","itemData":{"DOI":"10.1080/02671520701809817","ISSN":"14701146","abstract":"This academic review critically examines the theoretical and empirical bases of claims made for the educational benefits of physical education and school sport (PESS). An historical overview of the development of PESS points to the origins of claims made in four broad domains: physical, social, affective and cognitive. Analysis of the evidence suggests that PESS has the potential to make contributions to young people’s development in each of these domains. Unsurprisingly, perhaps, there is suggestive evidence of a distinctive role for PESS in the acquisition and development of children’s movement skills and physical competence. It can be argued that these are necessary, if not deterministic conditions of engagement in lifelong physical activity. In the social domain, there is sufficient evidence to support claims of positive benefits for young people. Importantly, benefits are mediated by environmental and contextual factors such as leadership, the involvement of young people in decision-making, an emphasis on social relationships, and an explicit focus on learning processes. In the affective domain, too, engagement in physical activity has been positively associated with numerous dimensions of psychological and emotional development, yet the mechanisms through which these benefits occur are less clear. Likewise, the mechanisms by which PESS might contribute to cognitive and academic developments are barely understood. There is, however, some persuasive evidence to suggest that physical activity can improve children’s concentration and arousal, which might indirectly benefit academic performance. In can be concluded that many of the educational benefits claimed for PESS are highly dependent on contextual and pedagogic variables, which leads us to question any simple equations of participation and beneficial outcomes for young people. In the final section, therefore, the review raises questions about whether PESS should be held accountable for claims made for educational benefits, and about the implications of accountability. © 2009, Taylor &amp; Francis Group, LLC. All rights reserved.","author":[{"dropping-particle":"","family":"Bailey","given":"Richard","non-dropping-particle":"","parse-names":false,"suffix":""},{"dropping-particle":"","family":"Armour","given":"Kathleen","non-dropping-particle":"","parse-names":false,"suffix":""},{"dropping-particle":"","family":"Kirk","given":"David","non-dropping-particle":"","parse-names":false,"suffix":""},{"dropping-particle":"","family":"Jess","given":"Mike","non-dropping-particle":"","parse-names":false,"suffix":""},{"dropping-particle":"","family":"Pickup","given":"Ian","non-dropping-particle":"","parse-names":false,"suffix":""},{"dropping-particle":"","family":"Sandford","given":"Rachel","non-dropping-particle":"","parse-names":false,"suffix":""}],"container-title":"Research Papers in Education","id":"ITEM-1","issue":"1","issued":{"date-parts":[["2009"]]},"page":"1-27","title":"The educational benefits claimed for physical education and school sport: An academic review","type":"article-journal","volume":"24"},"uris":["http://www.mendeley.com/documents/?uuid=5fe03701-026b-4929-83e4-5b116cc51d14"]}],"mendeley":{"formattedCitation":"(Bailey et al., 2009)","manualFormatting":"(Bailey et al., 2009","plainTextFormattedCitation":"(Bailey et al., 2009)","previouslyFormattedCitation":"(Bailey et al., 2009)"},"properties":{"noteIndex":0},"schema":"https://github.com/citation-style-language/schema/raw/master/csl-citation.json"}</w:instrText>
      </w:r>
      <w:r w:rsidR="00EC4AEE">
        <w:rPr>
          <w:rFonts w:ascii="Georgia" w:hAnsi="Georgia" w:cs="Times New Roman"/>
          <w:color w:val="222222"/>
          <w:lang w:val="en-US"/>
        </w:rPr>
        <w:fldChar w:fldCharType="separate"/>
      </w:r>
      <w:r w:rsidR="00EC4AEE" w:rsidRPr="00EC4AEE">
        <w:rPr>
          <w:rFonts w:ascii="Georgia" w:hAnsi="Georgia" w:cs="Times New Roman"/>
          <w:noProof/>
          <w:color w:val="222222"/>
          <w:lang w:val="en-US"/>
        </w:rPr>
        <w:t>(Bailey et al., 2009</w:t>
      </w:r>
      <w:r w:rsidR="00EC4AEE">
        <w:rPr>
          <w:rFonts w:ascii="Georgia" w:hAnsi="Georgia" w:cs="Times New Roman"/>
          <w:color w:val="222222"/>
          <w:lang w:val="en-US"/>
        </w:rPr>
        <w:fldChar w:fldCharType="end"/>
      </w:r>
      <w:r w:rsidR="00EC4AEE">
        <w:rPr>
          <w:rFonts w:ascii="Georgia" w:hAnsi="Georgia" w:cs="Times New Roman"/>
          <w:color w:val="222222"/>
          <w:lang w:val="en-US"/>
        </w:rPr>
        <w:t xml:space="preserve">; </w:t>
      </w:r>
      <w:r w:rsidR="00EC4AEE">
        <w:rPr>
          <w:rFonts w:ascii="Georgia" w:hAnsi="Georgia" w:cs="Times New Roman"/>
          <w:color w:val="222222"/>
          <w:lang w:val="en-US"/>
        </w:rPr>
        <w:fldChar w:fldCharType="begin" w:fldLock="1"/>
      </w:r>
      <w:r w:rsidR="00EC4AEE">
        <w:rPr>
          <w:rFonts w:ascii="Georgia" w:hAnsi="Georgia" w:cs="Times New Roman"/>
          <w:color w:val="222222"/>
          <w:lang w:val="en-US"/>
        </w:rPr>
        <w:instrText>ADDIN CSL_CITATION {"citationItems":[{"id":"ITEM-1","itemData":{"DOI":"10.1080/00131857.2013.785352","ISSN":"00131857","abstract":"A models-based approach has been advocated as a means of overcoming the serious limitations of the traditional approach to physical education. One of the difficulties with this approach is that physical educators have sought to use it to achieve diverse and sometimes competing educational benefits, and these wide-ranging aspirations are rarely if ever achieved. Models-based practice offers a possible resolution to these problems by limiting the range of learning outcomes, subject matter and teaching strategies appropriate to each pedagogical model and thus the arguments that can be used for educational value. In this article, two examples are provided to support a case for educational value. This case is built on an examination of one established pedagogical model, Sport Education, which is informed by a perspective on ethics. Next, I consider Physical Literacy which, I suggest, is an existentialist philosophical perspective that could form the basis of a new pedagogical model. It is argued, in conclusion, that a models-based approach along with a reconstructed notion of educational value may offer a possible future for physical education that is well grounded in various philosophical arguments and the means to facilitate a wide range of diverse individual and social educational 'goods'. © 2013 Copyright Philosophy of Education Society of Australasia.","author":[{"dropping-particle":"","family":"Kirk","given":"David","non-dropping-particle":"","parse-names":false,"suffix":""}],"container-title":"Educational Philosophy and Theory","id":"ITEM-1","issue":"9","issued":{"date-parts":[["2013"]]},"page":"973-986","title":"Educational Value and Models-Based Practice in Physical Education","type":"article-journal","volume":"45"},"uris":["http://www.mendeley.com/documents/?uuid=f326bf0f-238b-4aad-bf02-5d284067fdba"]}],"mendeley":{"formattedCitation":"(Kirk, 2013)","manualFormatting":"Kirk, 2013)","plainTextFormattedCitation":"(Kirk, 2013)","previouslyFormattedCitation":"(Kirk, 2013)"},"properties":{"noteIndex":0},"schema":"https://github.com/citation-style-language/schema/raw/master/csl-citation.json"}</w:instrText>
      </w:r>
      <w:r w:rsidR="00EC4AEE">
        <w:rPr>
          <w:rFonts w:ascii="Georgia" w:hAnsi="Georgia" w:cs="Times New Roman"/>
          <w:color w:val="222222"/>
          <w:lang w:val="en-US"/>
        </w:rPr>
        <w:fldChar w:fldCharType="separate"/>
      </w:r>
      <w:r w:rsidR="00EC4AEE" w:rsidRPr="00EC4AEE">
        <w:rPr>
          <w:rFonts w:ascii="Georgia" w:hAnsi="Georgia" w:cs="Times New Roman"/>
          <w:noProof/>
          <w:color w:val="222222"/>
          <w:lang w:val="en-US"/>
        </w:rPr>
        <w:t>Kirk, 2013)</w:t>
      </w:r>
      <w:r w:rsidR="00EC4AEE">
        <w:rPr>
          <w:rFonts w:ascii="Georgia" w:hAnsi="Georgia" w:cs="Times New Roman"/>
          <w:color w:val="222222"/>
          <w:lang w:val="en-US"/>
        </w:rPr>
        <w:fldChar w:fldCharType="end"/>
      </w:r>
      <w:r>
        <w:rPr>
          <w:rFonts w:ascii="Georgia" w:hAnsi="Georgia" w:cs="Times New Roman"/>
          <w:color w:val="222222"/>
          <w:lang w:val="en-US"/>
        </w:rPr>
        <w:t xml:space="preserve">. </w:t>
      </w:r>
      <w:r w:rsidRPr="004653DE">
        <w:rPr>
          <w:rFonts w:ascii="Georgia" w:hAnsi="Georgia" w:cs="Times New Roman"/>
          <w:color w:val="222222"/>
          <w:lang w:val="en-US"/>
        </w:rPr>
        <w:t>Dengan Cooperative Learning sebagai model pedagogis yang mampu mendukung</w:t>
      </w:r>
      <w:r>
        <w:rPr>
          <w:rFonts w:ascii="Georgia" w:hAnsi="Georgia" w:cs="Times New Roman"/>
          <w:color w:val="222222"/>
          <w:lang w:val="en-US"/>
        </w:rPr>
        <w:t xml:space="preserve"> </w:t>
      </w:r>
      <w:r w:rsidRPr="004653DE">
        <w:rPr>
          <w:rFonts w:ascii="Georgia" w:hAnsi="Georgia" w:cs="Times New Roman"/>
          <w:color w:val="222222"/>
          <w:lang w:val="en-US"/>
        </w:rPr>
        <w:t>ke</w:t>
      </w:r>
      <w:r>
        <w:rPr>
          <w:rFonts w:ascii="Georgia" w:hAnsi="Georgia" w:cs="Times New Roman"/>
          <w:color w:val="222222"/>
          <w:lang w:val="en-US"/>
        </w:rPr>
        <w:t xml:space="preserve"> </w:t>
      </w:r>
      <w:r w:rsidRPr="004653DE">
        <w:rPr>
          <w:rFonts w:ascii="Georgia" w:hAnsi="Georgia" w:cs="Times New Roman"/>
          <w:color w:val="222222"/>
          <w:lang w:val="en-US"/>
        </w:rPr>
        <w:t>empat hasil pembel</w:t>
      </w:r>
      <w:r w:rsidR="00F952B0">
        <w:rPr>
          <w:rFonts w:ascii="Georgia" w:hAnsi="Georgia" w:cs="Times New Roman"/>
          <w:color w:val="222222"/>
          <w:lang w:val="en-US"/>
        </w:rPr>
        <w:t xml:space="preserve">ajaran ini </w:t>
      </w:r>
      <w:r w:rsidR="00F952B0">
        <w:rPr>
          <w:rFonts w:ascii="Georgia" w:hAnsi="Georgia" w:cs="Times New Roman"/>
          <w:color w:val="222222"/>
          <w:lang w:val="en-US"/>
        </w:rPr>
        <w:fldChar w:fldCharType="begin" w:fldLock="1"/>
      </w:r>
      <w:r w:rsidR="00D10E54">
        <w:rPr>
          <w:rFonts w:ascii="Georgia" w:hAnsi="Georgia" w:cs="Times New Roman"/>
          <w:color w:val="222222"/>
          <w:lang w:val="en-US"/>
        </w:rPr>
        <w:instrText>ADDIN CSL_CITATION {"citationItems":[{"id":"ITEM-1","itemData":{"DOI":"10.1080/2331186X.2019.1674067","author":[{"dropping-particle":"","family":"Kristiansen","given":"Selma Dzemidzic","non-dropping-particle":"","parse-names":false,"suffix":""},{"dropping-particle":"","family":"Burner","given":"Tony","non-dropping-particle":"","parse-names":false,"suffix":""},{"dropping-particle":"","family":"Johnsen","given":"Berit Helene","non-dropping-particle":"","parse-names":false,"suffix":""},{"dropping-particle":"","family":"Dzemidzic","given":"Selma","non-dropping-particle":"","parse-names":false,"suffix":""},{"dropping-particle":"","family":"Burner","given":"Tony","non-dropping-particle":"","parse-names":false,"suffix":""},{"dropping-particle":"","family":"Johnsen","given":"Berit Helene","non-dropping-particle":"","parse-names":false,"suffix":""},{"dropping-particle":"","family":"Kristiansen","given":"Selma Dzemidzic","non-dropping-particle":"","parse-names":false,"suffix":""},{"dropping-particle":"","family":"Burner","given":"Tony","non-dropping-particle":"","parse-names":false,"suffix":""},{"dropping-particle":"","family":"Johnsen","given":"Berit Helene","non-dropping-particle":"","parse-names":false,"suffix":""}],"container-title":"Cogent Education","id":"ITEM-1","issue":"01","issued":{"date-parts":[["2019"]]},"publisher":"Cogent","title":"Face-to-face promotive interaction leading to successful cooperative learning : A review study Face-to-face promotive interaction leading to successful cooperative learning : A review study","type":"article-journal","volume":"6"},"uris":["http://www.mendeley.com/documents/?uuid=416a1dec-f308-4eed-b7a7-703f3e7b6066"]}],"mendeley":{"formattedCitation":"(Kristiansen et al., 2019)","plainTextFormattedCitation":"(Kristiansen et al., 2019)","previouslyFormattedCitation":"(Kristiansen et al., 2019)"},"properties":{"noteIndex":0},"schema":"https://github.com/citation-style-language/schema/raw/master/csl-citation.json"}</w:instrText>
      </w:r>
      <w:r w:rsidR="00F952B0">
        <w:rPr>
          <w:rFonts w:ascii="Georgia" w:hAnsi="Georgia" w:cs="Times New Roman"/>
          <w:color w:val="222222"/>
          <w:lang w:val="en-US"/>
        </w:rPr>
        <w:fldChar w:fldCharType="separate"/>
      </w:r>
      <w:r w:rsidR="00F952B0" w:rsidRPr="00F952B0">
        <w:rPr>
          <w:rFonts w:ascii="Georgia" w:hAnsi="Georgia" w:cs="Times New Roman"/>
          <w:noProof/>
          <w:color w:val="222222"/>
          <w:lang w:val="en-US"/>
        </w:rPr>
        <w:t>(Kristiansen et al., 2019)</w:t>
      </w:r>
      <w:r w:rsidR="00F952B0">
        <w:rPr>
          <w:rFonts w:ascii="Georgia" w:hAnsi="Georgia" w:cs="Times New Roman"/>
          <w:color w:val="222222"/>
          <w:lang w:val="en-US"/>
        </w:rPr>
        <w:fldChar w:fldCharType="end"/>
      </w:r>
      <w:r w:rsidR="00F402D9">
        <w:rPr>
          <w:rFonts w:ascii="Georgia" w:hAnsi="Georgia" w:cs="Times New Roman"/>
          <w:color w:val="222222"/>
          <w:lang w:val="en-US"/>
        </w:rPr>
        <w:t>. Hasil penelitian sebelumnya menjelaskan bahwa TGT dapat meningkatkan hasil belajar kognitif siswa</w:t>
      </w:r>
      <w:r w:rsidR="00A7114B">
        <w:rPr>
          <w:rFonts w:ascii="Georgia" w:hAnsi="Georgia" w:cs="Times New Roman"/>
          <w:color w:val="222222"/>
          <w:lang w:val="en-US"/>
        </w:rPr>
        <w:t xml:space="preserve"> </w:t>
      </w:r>
      <w:r w:rsidR="00A7114B">
        <w:rPr>
          <w:rFonts w:ascii="Georgia" w:hAnsi="Georgia" w:cs="Times New Roman"/>
          <w:color w:val="222222"/>
          <w:lang w:val="en-US"/>
        </w:rPr>
        <w:fldChar w:fldCharType="begin" w:fldLock="1"/>
      </w:r>
      <w:r w:rsidR="00A23AD4">
        <w:rPr>
          <w:rFonts w:ascii="Georgia" w:hAnsi="Georgia" w:cs="Times New Roman"/>
          <w:color w:val="222222"/>
          <w:lang w:val="en-US"/>
        </w:rPr>
        <w:instrText>ADDIN CSL_CITATION {"citationItems":[{"id":"ITEM-1","itemData":{"DOI":"10.1007/s11423-008-9086-5","ISSN":"10421629","abstract":"This article reports findings on a study of educational computer games used within various classroom situations. Employing an across-stage, mixed method model, the study examined whether educational computer games, in comparison to traditional paper-and-pencil drills, would be more effective in facilitating comprehensive math learning outcomes, and whether alternative classroom goal structures would enhance or reduce the effects of computer games. The findings indicated that computer games, compared with paper-and-pencil drills, were significantly more effective in promoting learning motivation but not significantly different in facilitating cognitive math test performance and metacognitive awareness. Additionally, this study established that alternative classroom goal structures mediated the effects of computer games on mathematical learning outcomes. Cooperative goal structure, as opposed to competitive and individualistic structures, significantly enhanced the effects of computer games on attitudes toward math learning. © 2008 Association for Educational Communications and Technology.","author":[{"dropping-particle":"","family":"Ke","given":"Fengfeng","non-dropping-particle":"","parse-names":false,"suffix":""}],"container-title":"Educational Technology Research and Development","id":"ITEM-1","issue":"5-6","issued":{"date-parts":[["2008"]]},"page":"539-556","title":"Computer games application within alternative classroom goal structures: Cognitive, metacognitive, and affective evaluation","type":"article-journal","volume":"56"},"uris":["http://www.mendeley.com/documents/?uuid=082e3bcf-706d-41a9-b372-318342f733af"]}],"mendeley":{"formattedCitation":"(Ke, 2008)","plainTextFormattedCitation":"(Ke, 2008)","previouslyFormattedCitation":"(Ke, 2008)"},"properties":{"noteIndex":0},"schema":"https://github.com/citation-style-language/schema/raw/master/csl-citation.json"}</w:instrText>
      </w:r>
      <w:r w:rsidR="00A7114B">
        <w:rPr>
          <w:rFonts w:ascii="Georgia" w:hAnsi="Georgia" w:cs="Times New Roman"/>
          <w:color w:val="222222"/>
          <w:lang w:val="en-US"/>
        </w:rPr>
        <w:fldChar w:fldCharType="separate"/>
      </w:r>
      <w:r w:rsidR="00A7114B" w:rsidRPr="00A7114B">
        <w:rPr>
          <w:rFonts w:ascii="Georgia" w:hAnsi="Georgia" w:cs="Times New Roman"/>
          <w:noProof/>
          <w:color w:val="222222"/>
          <w:lang w:val="en-US"/>
        </w:rPr>
        <w:t>(Ke, 2008)</w:t>
      </w:r>
      <w:r w:rsidR="00A7114B">
        <w:rPr>
          <w:rFonts w:ascii="Georgia" w:hAnsi="Georgia" w:cs="Times New Roman"/>
          <w:color w:val="222222"/>
          <w:lang w:val="en-US"/>
        </w:rPr>
        <w:fldChar w:fldCharType="end"/>
      </w:r>
      <w:r w:rsidR="00F402D9">
        <w:rPr>
          <w:rFonts w:ascii="Georgia" w:hAnsi="Georgia" w:cs="Times New Roman"/>
          <w:color w:val="222222"/>
          <w:lang w:val="en-US"/>
        </w:rPr>
        <w:t>. Hal ini karena TGT menawarkan hasil belajar pendidikan jasmani siswa ke arah yang lebih baik bila dibandingkan dengan model pembelajaran tradisional</w:t>
      </w:r>
      <w:r w:rsidR="00891D0D">
        <w:rPr>
          <w:rFonts w:ascii="Georgia" w:hAnsi="Georgia" w:cs="Times New Roman"/>
          <w:color w:val="222222"/>
          <w:lang w:val="en-US"/>
        </w:rPr>
        <w:t xml:space="preserve"> </w:t>
      </w:r>
      <w:r w:rsidR="00891D0D">
        <w:rPr>
          <w:rFonts w:ascii="Georgia" w:hAnsi="Georgia" w:cs="Times New Roman"/>
          <w:color w:val="222222"/>
          <w:lang w:val="en-US"/>
        </w:rPr>
        <w:fldChar w:fldCharType="begin" w:fldLock="1"/>
      </w:r>
      <w:r w:rsidR="00C7214D">
        <w:rPr>
          <w:rFonts w:ascii="Georgia" w:hAnsi="Georgia" w:cs="Times New Roman"/>
          <w:color w:val="222222"/>
          <w:lang w:val="en-US"/>
        </w:rPr>
        <w:instrText>ADDIN CSL_CITATION {"citationItems":[{"id":"ITEM-1","itemData":{"DOI":"10.1080/07303084.2019.1559677","ISSN":"21683816","abstract":"The purpose of this article is to critically apply the mastery TARGET structures (task, authority, recognition, grouping, evaluation and time) to the cooperative learning (CL) model in physical education. The premise is that the TARGET structures are highly applicable to the CL model and that combining both approaches will optimize student motivation and inclusion in physical education. The structure of the article follows the TARGET acronym and identifies how implementing each of the mastery TARGET structures could potentially enhance the motivational climate associated with the CL model for all students. The key elements of CL (positive interdependence, individual accountability, face-to-face interaction, interpersonal and small-group skills, and group processing) have close links to several of the TARGET structures, and these are critically explored. It is anticipated that this article could be used to further enrich the CL model and to open up new avenues of research that combine TARGET and cooperative learning.","author":[{"dropping-particle":"","family":"Morgan","given":"Kevin","non-dropping-particle":"","parse-names":false,"suffix":""}],"container-title":"Journal of Physical Education, Recreation and Dance","id":"ITEM-1","issue":"3","issued":{"date-parts":[["2019"]]},"page":"27-32","title":"Applying Mastery TARGET Structures to Cooperative Learning in Physical Education","type":"article-journal","volume":"90"},"uris":["http://www.mendeley.com/documents/?uuid=dc550cdd-76e2-469e-a1a2-7761c4469d16"]}],"mendeley":{"formattedCitation":"(Morgan, 2019)","plainTextFormattedCitation":"(Morgan, 2019)","previouslyFormattedCitation":"(Morgan, 2019)"},"properties":{"noteIndex":0},"schema":"https://github.com/citation-style-language/schema/raw/master/csl-citation.json"}</w:instrText>
      </w:r>
      <w:r w:rsidR="00891D0D">
        <w:rPr>
          <w:rFonts w:ascii="Georgia" w:hAnsi="Georgia" w:cs="Times New Roman"/>
          <w:color w:val="222222"/>
          <w:lang w:val="en-US"/>
        </w:rPr>
        <w:fldChar w:fldCharType="separate"/>
      </w:r>
      <w:r w:rsidR="00891D0D" w:rsidRPr="00891D0D">
        <w:rPr>
          <w:rFonts w:ascii="Georgia" w:hAnsi="Georgia" w:cs="Times New Roman"/>
          <w:noProof/>
          <w:color w:val="222222"/>
          <w:lang w:val="en-US"/>
        </w:rPr>
        <w:t>(Morgan, 2019)</w:t>
      </w:r>
      <w:r w:rsidR="00891D0D">
        <w:rPr>
          <w:rFonts w:ascii="Georgia" w:hAnsi="Georgia" w:cs="Times New Roman"/>
          <w:color w:val="222222"/>
          <w:lang w:val="en-US"/>
        </w:rPr>
        <w:fldChar w:fldCharType="end"/>
      </w:r>
      <w:r w:rsidR="00891D0D">
        <w:rPr>
          <w:rFonts w:ascii="Georgia" w:hAnsi="Georgia" w:cs="Times New Roman"/>
          <w:color w:val="222222"/>
          <w:lang w:val="en-US"/>
        </w:rPr>
        <w:t>. S</w:t>
      </w:r>
      <w:r w:rsidR="0075431F">
        <w:rPr>
          <w:rFonts w:ascii="Georgia" w:hAnsi="Georgia" w:cs="Times New Roman"/>
          <w:color w:val="222222"/>
          <w:lang w:val="en-US"/>
        </w:rPr>
        <w:t xml:space="preserve">eperti yang digambarkan oleh </w:t>
      </w:r>
      <w:r w:rsidR="00D10E54">
        <w:rPr>
          <w:rFonts w:ascii="Georgia" w:hAnsi="Georgia" w:cs="Times New Roman"/>
          <w:color w:val="222222"/>
          <w:lang w:val="en-US"/>
        </w:rPr>
        <w:fldChar w:fldCharType="begin" w:fldLock="1"/>
      </w:r>
      <w:r w:rsidR="00891D0D">
        <w:rPr>
          <w:rFonts w:ascii="Georgia" w:hAnsi="Georgia" w:cs="Times New Roman"/>
          <w:color w:val="222222"/>
          <w:lang w:val="en-US"/>
        </w:rPr>
        <w:instrText>ADDIN CSL_CITATION {"citationItems":[{"id":"ITEM-1","itemData":{"DOI":"10.1080/03004279.2015.963370","ISSN":"14757575","abstract":"Cooperative learning refers to instructional methods in which students work in small groups to help each other learn. Although cooperative learning methods are used for different age groups, they are particularly popular in elementary (primary) schools. This article discusses methods and theoretical perspectives on cooperative learning for the elementary grades. The article acknowledges the contributions from each of the major theoretical perspectives and places them in a model that depicts the likely role each plays in cooperative learning outcomes. This work explores conditions under which each perspective may operate, and suggests further research needed to advance cooperative learning scholarship. (PsycINFO Database Record (c) 2015 APA, all rights reserved). (journal abstract)","author":[{"dropping-particle":"","family":"Slavin","given":"Robert E.","non-dropping-particle":"","parse-names":false,"suffix":""}],"container-title":"Education 3-13","id":"ITEM-1","issue":"1","issued":{"date-parts":[["2015"]]},"page":"5-14","title":"Cooperative learning in elementary schools","type":"article-journal","volume":"43"},"uris":["http://www.mendeley.com/documents/?uuid=a3412f02-7b20-4d45-b286-094cbec73074"]}],"mendeley":{"formattedCitation":"(Slavin, 2015)","manualFormatting":"Slavin (2015)","plainTextFormattedCitation":"(Slavin, 2015)","previouslyFormattedCitation":"(Slavin, 2015)"},"properties":{"noteIndex":0},"schema":"https://github.com/citation-style-language/schema/raw/master/csl-citation.json"}</w:instrText>
      </w:r>
      <w:r w:rsidR="00D10E54">
        <w:rPr>
          <w:rFonts w:ascii="Georgia" w:hAnsi="Georgia" w:cs="Times New Roman"/>
          <w:color w:val="222222"/>
          <w:lang w:val="en-US"/>
        </w:rPr>
        <w:fldChar w:fldCharType="separate"/>
      </w:r>
      <w:r w:rsidR="0075431F">
        <w:rPr>
          <w:rFonts w:ascii="Georgia" w:hAnsi="Georgia" w:cs="Times New Roman"/>
          <w:noProof/>
          <w:color w:val="222222"/>
          <w:lang w:val="en-US"/>
        </w:rPr>
        <w:t>Slavin</w:t>
      </w:r>
      <w:r w:rsidR="0075431F" w:rsidRPr="0075431F">
        <w:rPr>
          <w:rFonts w:ascii="Georgia" w:hAnsi="Georgia" w:cs="Times New Roman"/>
          <w:noProof/>
          <w:color w:val="222222"/>
          <w:lang w:val="en-US"/>
        </w:rPr>
        <w:t xml:space="preserve"> </w:t>
      </w:r>
      <w:r w:rsidR="0075431F">
        <w:rPr>
          <w:rFonts w:ascii="Georgia" w:hAnsi="Georgia" w:cs="Times New Roman"/>
          <w:noProof/>
          <w:color w:val="222222"/>
          <w:lang w:val="en-US"/>
        </w:rPr>
        <w:t>(</w:t>
      </w:r>
      <w:r w:rsidR="0075431F" w:rsidRPr="0075431F">
        <w:rPr>
          <w:rFonts w:ascii="Georgia" w:hAnsi="Georgia" w:cs="Times New Roman"/>
          <w:noProof/>
          <w:color w:val="222222"/>
          <w:lang w:val="en-US"/>
        </w:rPr>
        <w:t>2015)</w:t>
      </w:r>
      <w:r w:rsidR="00D10E54">
        <w:rPr>
          <w:rFonts w:ascii="Georgia" w:hAnsi="Georgia" w:cs="Times New Roman"/>
          <w:color w:val="222222"/>
          <w:lang w:val="en-US"/>
        </w:rPr>
        <w:fldChar w:fldCharType="end"/>
      </w:r>
      <w:r w:rsidR="00891D0D">
        <w:rPr>
          <w:rFonts w:ascii="Georgia" w:hAnsi="Georgia" w:cs="Times New Roman"/>
          <w:color w:val="222222"/>
          <w:lang w:val="en-US"/>
        </w:rPr>
        <w:t xml:space="preserve"> tentang </w:t>
      </w:r>
      <w:r w:rsidR="00891D0D">
        <w:rPr>
          <w:rFonts w:ascii="Georgia" w:eastAsia="Arial" w:hAnsi="Georgia" w:cs="Times New Roman"/>
          <w:lang w:val="en-US" w:eastAsia="en-US"/>
        </w:rPr>
        <w:t>m</w:t>
      </w:r>
      <w:r w:rsidR="00891D0D" w:rsidRPr="00891D0D">
        <w:rPr>
          <w:rFonts w:ascii="Georgia" w:eastAsia="Arial" w:hAnsi="Georgia" w:cs="Times New Roman"/>
          <w:lang w:val="en-US" w:eastAsia="en-US"/>
        </w:rPr>
        <w:t>odel pembelajaran kooperatif berpengaruh terhadap pembelajaran</w:t>
      </w:r>
      <w:r w:rsidR="0075431F">
        <w:rPr>
          <w:rFonts w:ascii="Georgia" w:hAnsi="Georgia" w:cs="Times New Roman"/>
          <w:color w:val="222222"/>
          <w:lang w:val="en-US"/>
        </w:rPr>
        <w:t xml:space="preserve"> yang ditunjukkan pada Gambar 1.</w:t>
      </w:r>
    </w:p>
    <w:p w14:paraId="23CD413B" w14:textId="77777777" w:rsidR="00D10E54" w:rsidRDefault="00D10E54" w:rsidP="004653DE">
      <w:pPr>
        <w:spacing w:after="0"/>
        <w:ind w:firstLine="567"/>
        <w:jc w:val="both"/>
        <w:rPr>
          <w:rFonts w:ascii="Georgia" w:hAnsi="Georgia" w:cs="Times New Roman"/>
          <w:color w:val="222222"/>
          <w:lang w:val="en-US"/>
        </w:rPr>
      </w:pPr>
    </w:p>
    <w:p w14:paraId="144C278A" w14:textId="736B85BD" w:rsidR="00D10E54" w:rsidRDefault="00771C4F" w:rsidP="004653DE">
      <w:pPr>
        <w:spacing w:after="0"/>
        <w:ind w:firstLine="567"/>
        <w:jc w:val="both"/>
        <w:rPr>
          <w:rFonts w:ascii="Georgia" w:hAnsi="Georgia" w:cs="Times New Roman"/>
          <w:color w:val="222222"/>
          <w:lang w:val="en-US"/>
        </w:rPr>
      </w:pPr>
      <w:r>
        <w:rPr>
          <w:rFonts w:ascii="Georgia" w:hAnsi="Georgia" w:cs="Times New Roman"/>
          <w:noProof/>
          <w:color w:val="222222"/>
          <w:lang w:val="en-US" w:eastAsia="en-US"/>
        </w:rPr>
        <mc:AlternateContent>
          <mc:Choice Requires="wpg">
            <w:drawing>
              <wp:anchor distT="0" distB="0" distL="114300" distR="114300" simplePos="0" relativeHeight="251670528" behindDoc="0" locked="0" layoutInCell="1" allowOverlap="1" wp14:anchorId="7EF6A283" wp14:editId="21225DBF">
                <wp:simplePos x="0" y="0"/>
                <wp:positionH relativeFrom="column">
                  <wp:posOffset>670560</wp:posOffset>
                </wp:positionH>
                <wp:positionV relativeFrom="paragraph">
                  <wp:posOffset>22225</wp:posOffset>
                </wp:positionV>
                <wp:extent cx="5543550" cy="1701800"/>
                <wp:effectExtent l="0" t="0" r="19050" b="12700"/>
                <wp:wrapNone/>
                <wp:docPr id="14" name="Group 14"/>
                <wp:cNvGraphicFramePr/>
                <a:graphic xmlns:a="http://schemas.openxmlformats.org/drawingml/2006/main">
                  <a:graphicData uri="http://schemas.microsoft.com/office/word/2010/wordprocessingGroup">
                    <wpg:wgp>
                      <wpg:cNvGrpSpPr/>
                      <wpg:grpSpPr>
                        <a:xfrm>
                          <a:off x="0" y="0"/>
                          <a:ext cx="5543550" cy="1701800"/>
                          <a:chOff x="0" y="0"/>
                          <a:chExt cx="5543550" cy="1701800"/>
                        </a:xfrm>
                        <a:solidFill>
                          <a:srgbClr val="FFC000"/>
                        </a:solidFill>
                      </wpg:grpSpPr>
                      <wpg:grpSp>
                        <wpg:cNvPr id="9" name="Group 9"/>
                        <wpg:cNvGrpSpPr/>
                        <wpg:grpSpPr>
                          <a:xfrm>
                            <a:off x="0" y="6350"/>
                            <a:ext cx="2552700" cy="1695450"/>
                            <a:chOff x="0" y="0"/>
                            <a:chExt cx="2552700" cy="1695450"/>
                          </a:xfrm>
                          <a:grpFill/>
                        </wpg:grpSpPr>
                        <wps:wsp>
                          <wps:cNvPr id="3" name="Rectangle 3"/>
                          <wps:cNvSpPr/>
                          <wps:spPr>
                            <a:xfrm>
                              <a:off x="0" y="0"/>
                              <a:ext cx="863600" cy="1047750"/>
                            </a:xfrm>
                            <a:prstGeom prst="rect">
                              <a:avLst/>
                            </a:prstGeom>
                            <a:grpFill/>
                            <a:ln w="3175"/>
                          </wps:spPr>
                          <wps:style>
                            <a:lnRef idx="2">
                              <a:schemeClr val="dk1"/>
                            </a:lnRef>
                            <a:fillRef idx="1">
                              <a:schemeClr val="lt1"/>
                            </a:fillRef>
                            <a:effectRef idx="0">
                              <a:schemeClr val="dk1"/>
                            </a:effectRef>
                            <a:fontRef idx="minor">
                              <a:schemeClr val="dk1"/>
                            </a:fontRef>
                          </wps:style>
                          <wps:txbx>
                            <w:txbxContent>
                              <w:p w14:paraId="0BCD00BD" w14:textId="17D43A26" w:rsidR="00F9134C" w:rsidRPr="003F08C4" w:rsidRDefault="00F9134C" w:rsidP="001F6AAB">
                                <w:pPr>
                                  <w:jc w:val="center"/>
                                  <w:rPr>
                                    <w:rFonts w:ascii="Georgia" w:hAnsi="Georgia"/>
                                    <w:sz w:val="16"/>
                                    <w:szCs w:val="16"/>
                                    <w:lang w:val="en-US"/>
                                  </w:rPr>
                                </w:pPr>
                                <w:r w:rsidRPr="003F08C4">
                                  <w:rPr>
                                    <w:rFonts w:ascii="Georgia" w:hAnsi="Georgia"/>
                                    <w:sz w:val="16"/>
                                    <w:szCs w:val="16"/>
                                    <w:lang w:val="en-US"/>
                                  </w:rPr>
                                  <w:t xml:space="preserve">Group Goals Based and </w:t>
                                </w:r>
                                <w:proofErr w:type="gramStart"/>
                                <w:r w:rsidRPr="003F08C4">
                                  <w:rPr>
                                    <w:rFonts w:ascii="Georgia" w:hAnsi="Georgia"/>
                                    <w:sz w:val="16"/>
                                    <w:szCs w:val="16"/>
                                    <w:lang w:val="en-US"/>
                                  </w:rPr>
                                  <w:t>Learning</w:t>
                                </w:r>
                                <w:proofErr w:type="gramEnd"/>
                                <w:r w:rsidRPr="003F08C4">
                                  <w:rPr>
                                    <w:rFonts w:ascii="Georgia" w:hAnsi="Georgia"/>
                                    <w:sz w:val="16"/>
                                    <w:szCs w:val="16"/>
                                    <w:lang w:val="en-US"/>
                                  </w:rPr>
                                  <w:t xml:space="preserve"> fo all group members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0" y="1365250"/>
                              <a:ext cx="863600" cy="330200"/>
                            </a:xfrm>
                            <a:prstGeom prst="rect">
                              <a:avLst/>
                            </a:prstGeom>
                            <a:grpFill/>
                            <a:ln w="3175"/>
                          </wps:spPr>
                          <wps:style>
                            <a:lnRef idx="2">
                              <a:schemeClr val="dk1"/>
                            </a:lnRef>
                            <a:fillRef idx="1">
                              <a:schemeClr val="lt1"/>
                            </a:fillRef>
                            <a:effectRef idx="0">
                              <a:schemeClr val="dk1"/>
                            </a:effectRef>
                            <a:fontRef idx="minor">
                              <a:schemeClr val="dk1"/>
                            </a:fontRef>
                          </wps:style>
                          <wps:txbx>
                            <w:txbxContent>
                              <w:p w14:paraId="5C3D71C1" w14:textId="51659A60" w:rsidR="00F9134C" w:rsidRPr="003F08C4" w:rsidRDefault="00F9134C" w:rsidP="003F08C4">
                                <w:pPr>
                                  <w:jc w:val="center"/>
                                  <w:rPr>
                                    <w:rFonts w:ascii="Georgia" w:hAnsi="Georgia"/>
                                    <w:sz w:val="16"/>
                                    <w:szCs w:val="16"/>
                                    <w:lang w:val="en-US"/>
                                  </w:rPr>
                                </w:pPr>
                                <w:r w:rsidRPr="003F08C4">
                                  <w:rPr>
                                    <w:rFonts w:ascii="Georgia" w:hAnsi="Georgia"/>
                                    <w:sz w:val="16"/>
                                    <w:szCs w:val="16"/>
                                    <w:lang w:val="en-US"/>
                                  </w:rPr>
                                  <w:t>Social cohesion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Straight Arrow Connector 5"/>
                          <wps:cNvCnPr/>
                          <wps:spPr>
                            <a:xfrm>
                              <a:off x="412750" y="1047750"/>
                              <a:ext cx="0" cy="317500"/>
                            </a:xfrm>
                            <a:prstGeom prst="straightConnector1">
                              <a:avLst/>
                            </a:prstGeom>
                            <a:grpFill/>
                            <a:ln w="3175">
                              <a:tailEnd type="arrow"/>
                            </a:ln>
                          </wps:spPr>
                          <wps:style>
                            <a:lnRef idx="1">
                              <a:schemeClr val="dk1"/>
                            </a:lnRef>
                            <a:fillRef idx="0">
                              <a:schemeClr val="dk1"/>
                            </a:fillRef>
                            <a:effectRef idx="0">
                              <a:schemeClr val="dk1"/>
                            </a:effectRef>
                            <a:fontRef idx="minor">
                              <a:schemeClr val="tx1"/>
                            </a:fontRef>
                          </wps:style>
                          <wps:bodyPr/>
                        </wps:wsp>
                        <wps:wsp>
                          <wps:cNvPr id="6" name="Rectangle 6"/>
                          <wps:cNvSpPr/>
                          <wps:spPr>
                            <a:xfrm>
                              <a:off x="1663700" y="0"/>
                              <a:ext cx="889000" cy="1695450"/>
                            </a:xfrm>
                            <a:prstGeom prst="rect">
                              <a:avLst/>
                            </a:prstGeom>
                            <a:grpFill/>
                            <a:ln w="3175"/>
                          </wps:spPr>
                          <wps:style>
                            <a:lnRef idx="2">
                              <a:schemeClr val="dk1"/>
                            </a:lnRef>
                            <a:fillRef idx="1">
                              <a:schemeClr val="lt1"/>
                            </a:fillRef>
                            <a:effectRef idx="0">
                              <a:schemeClr val="dk1"/>
                            </a:effectRef>
                            <a:fontRef idx="minor">
                              <a:schemeClr val="dk1"/>
                            </a:fontRef>
                          </wps:style>
                          <wps:txbx>
                            <w:txbxContent>
                              <w:p w14:paraId="4CD83A00" w14:textId="3C4A2928" w:rsidR="00F9134C" w:rsidRPr="003F08C4" w:rsidRDefault="00F9134C" w:rsidP="003F08C4">
                                <w:pPr>
                                  <w:spacing w:after="0" w:line="240" w:lineRule="auto"/>
                                  <w:rPr>
                                    <w:rFonts w:ascii="Georgia" w:hAnsi="Georgia"/>
                                    <w:sz w:val="16"/>
                                    <w:szCs w:val="16"/>
                                    <w:lang w:val="en-US"/>
                                  </w:rPr>
                                </w:pPr>
                                <w:r w:rsidRPr="003F08C4">
                                  <w:rPr>
                                    <w:rFonts w:ascii="Georgia" w:hAnsi="Georgia"/>
                                    <w:sz w:val="16"/>
                                    <w:szCs w:val="16"/>
                                    <w:lang w:val="en-US"/>
                                  </w:rPr>
                                  <w:t>Motivation to learn</w:t>
                                </w:r>
                              </w:p>
                              <w:p w14:paraId="0419C637" w14:textId="77777777" w:rsidR="00F9134C" w:rsidRPr="003F08C4" w:rsidRDefault="00F9134C" w:rsidP="003F08C4">
                                <w:pPr>
                                  <w:spacing w:after="0" w:line="240" w:lineRule="auto"/>
                                  <w:rPr>
                                    <w:rFonts w:ascii="Georgia" w:hAnsi="Georgia"/>
                                    <w:sz w:val="16"/>
                                    <w:szCs w:val="16"/>
                                    <w:lang w:val="en-US"/>
                                  </w:rPr>
                                </w:pPr>
                              </w:p>
                              <w:p w14:paraId="438ADF4E" w14:textId="77777777" w:rsidR="00F9134C" w:rsidRDefault="00F9134C" w:rsidP="003F08C4">
                                <w:pPr>
                                  <w:spacing w:after="0" w:line="240" w:lineRule="auto"/>
                                  <w:rPr>
                                    <w:rFonts w:ascii="Georgia" w:hAnsi="Georgia"/>
                                    <w:sz w:val="16"/>
                                    <w:szCs w:val="16"/>
                                    <w:lang w:val="en-US"/>
                                  </w:rPr>
                                </w:pPr>
                              </w:p>
                              <w:p w14:paraId="76055DDF" w14:textId="77777777" w:rsidR="00F9134C" w:rsidRPr="003F08C4" w:rsidRDefault="00F9134C" w:rsidP="003F08C4">
                                <w:pPr>
                                  <w:spacing w:after="0" w:line="240" w:lineRule="auto"/>
                                  <w:rPr>
                                    <w:rFonts w:ascii="Georgia" w:hAnsi="Georgia"/>
                                    <w:sz w:val="16"/>
                                    <w:szCs w:val="16"/>
                                    <w:lang w:val="en-US"/>
                                  </w:rPr>
                                </w:pPr>
                                <w:r w:rsidRPr="003F08C4">
                                  <w:rPr>
                                    <w:rFonts w:ascii="Georgia" w:hAnsi="Georgia"/>
                                    <w:sz w:val="16"/>
                                    <w:szCs w:val="16"/>
                                    <w:lang w:val="en-US"/>
                                  </w:rPr>
                                  <w:t>Motivation</w:t>
                                </w:r>
                              </w:p>
                              <w:p w14:paraId="6BD5E7EC" w14:textId="62412F12" w:rsidR="00F9134C" w:rsidRPr="003F08C4" w:rsidRDefault="00F9134C" w:rsidP="003F08C4">
                                <w:pPr>
                                  <w:spacing w:after="0" w:line="240" w:lineRule="auto"/>
                                  <w:rPr>
                                    <w:rFonts w:ascii="Georgia" w:hAnsi="Georgia"/>
                                    <w:sz w:val="16"/>
                                    <w:szCs w:val="16"/>
                                    <w:lang w:val="en-US"/>
                                  </w:rPr>
                                </w:pPr>
                                <w:r w:rsidRPr="003F08C4">
                                  <w:rPr>
                                    <w:rFonts w:ascii="Georgia" w:hAnsi="Georgia"/>
                                    <w:sz w:val="16"/>
                                    <w:szCs w:val="16"/>
                                    <w:lang w:val="en-US"/>
                                  </w:rPr>
                                  <w:t>Encourage</w:t>
                                </w:r>
                              </w:p>
                              <w:p w14:paraId="79B7AFEF" w14:textId="242541F1" w:rsidR="00F9134C" w:rsidRDefault="00F9134C" w:rsidP="003F08C4">
                                <w:pPr>
                                  <w:spacing w:after="0" w:line="240" w:lineRule="auto"/>
                                  <w:rPr>
                                    <w:rFonts w:ascii="Georgia" w:hAnsi="Georgia"/>
                                    <w:sz w:val="16"/>
                                    <w:szCs w:val="16"/>
                                    <w:lang w:val="en-US"/>
                                  </w:rPr>
                                </w:pPr>
                                <w:r w:rsidRPr="003F08C4">
                                  <w:rPr>
                                    <w:rFonts w:ascii="Georgia" w:hAnsi="Georgia"/>
                                    <w:sz w:val="16"/>
                                    <w:szCs w:val="16"/>
                                    <w:lang w:val="en-US"/>
                                  </w:rPr>
                                  <w:t>Groupmates to Lea</w:t>
                                </w:r>
                                <w:r>
                                  <w:rPr>
                                    <w:rFonts w:ascii="Georgia" w:hAnsi="Georgia"/>
                                    <w:sz w:val="16"/>
                                    <w:szCs w:val="16"/>
                                    <w:lang w:val="en-US"/>
                                  </w:rPr>
                                  <w:t>rn</w:t>
                                </w:r>
                              </w:p>
                              <w:p w14:paraId="445F913E" w14:textId="77777777" w:rsidR="00F9134C" w:rsidRDefault="00F9134C" w:rsidP="003F08C4">
                                <w:pPr>
                                  <w:spacing w:after="0" w:line="240" w:lineRule="auto"/>
                                  <w:rPr>
                                    <w:rFonts w:ascii="Georgia" w:hAnsi="Georgia"/>
                                    <w:sz w:val="16"/>
                                    <w:szCs w:val="16"/>
                                    <w:lang w:val="en-US"/>
                                  </w:rPr>
                                </w:pPr>
                              </w:p>
                              <w:p w14:paraId="2153D76F" w14:textId="77777777" w:rsidR="00F9134C" w:rsidRDefault="00F9134C" w:rsidP="003F08C4">
                                <w:pPr>
                                  <w:spacing w:after="0" w:line="240" w:lineRule="auto"/>
                                  <w:rPr>
                                    <w:rFonts w:ascii="Georgia" w:hAnsi="Georgia"/>
                                    <w:sz w:val="16"/>
                                    <w:szCs w:val="16"/>
                                    <w:lang w:val="en-US"/>
                                  </w:rPr>
                                </w:pPr>
                              </w:p>
                              <w:p w14:paraId="287C83FC" w14:textId="219BC202" w:rsidR="00F9134C" w:rsidRDefault="00F9134C" w:rsidP="003F08C4">
                                <w:pPr>
                                  <w:spacing w:after="0" w:line="240" w:lineRule="auto"/>
                                  <w:rPr>
                                    <w:rFonts w:ascii="Georgia" w:hAnsi="Georgia"/>
                                    <w:sz w:val="16"/>
                                    <w:szCs w:val="16"/>
                                    <w:lang w:val="en-US"/>
                                  </w:rPr>
                                </w:pPr>
                                <w:r>
                                  <w:rPr>
                                    <w:rFonts w:ascii="Georgia" w:hAnsi="Georgia"/>
                                    <w:sz w:val="16"/>
                                    <w:szCs w:val="16"/>
                                    <w:lang w:val="en-US"/>
                                  </w:rPr>
                                  <w:t>Motivation Help</w:t>
                                </w:r>
                              </w:p>
                              <w:p w14:paraId="52AAD3C7" w14:textId="77777777" w:rsidR="00F9134C" w:rsidRDefault="00F9134C" w:rsidP="003F08C4">
                                <w:pPr>
                                  <w:spacing w:after="0" w:line="240" w:lineRule="auto"/>
                                  <w:rPr>
                                    <w:rFonts w:ascii="Georgia" w:hAnsi="Georgia"/>
                                    <w:sz w:val="16"/>
                                    <w:szCs w:val="16"/>
                                    <w:lang w:val="en-US"/>
                                  </w:rPr>
                                </w:pPr>
                                <w:r w:rsidRPr="003F08C4">
                                  <w:rPr>
                                    <w:rFonts w:ascii="Georgia" w:hAnsi="Georgia"/>
                                    <w:sz w:val="16"/>
                                    <w:szCs w:val="16"/>
                                    <w:lang w:val="en-US"/>
                                  </w:rPr>
                                  <w:t>Groupmates to Lea</w:t>
                                </w:r>
                                <w:r>
                                  <w:rPr>
                                    <w:rFonts w:ascii="Georgia" w:hAnsi="Georgia"/>
                                    <w:sz w:val="16"/>
                                    <w:szCs w:val="16"/>
                                    <w:lang w:val="en-US"/>
                                  </w:rPr>
                                  <w:t>rn</w:t>
                                </w:r>
                              </w:p>
                              <w:p w14:paraId="6131E854" w14:textId="77777777" w:rsidR="00F9134C" w:rsidRPr="003F08C4" w:rsidRDefault="00F9134C" w:rsidP="003F08C4">
                                <w:pPr>
                                  <w:spacing w:after="0" w:line="240" w:lineRule="auto"/>
                                  <w:jc w:val="center"/>
                                  <w:rPr>
                                    <w:rFonts w:ascii="Georgia" w:hAnsi="Georgia"/>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Straight Arrow Connector 7"/>
                          <wps:cNvCnPr/>
                          <wps:spPr>
                            <a:xfrm>
                              <a:off x="863600" y="82550"/>
                              <a:ext cx="800100" cy="0"/>
                            </a:xfrm>
                            <a:prstGeom prst="straightConnector1">
                              <a:avLst/>
                            </a:prstGeom>
                            <a:grpFill/>
                            <a:ln w="3175">
                              <a:tailEnd type="arrow"/>
                            </a:ln>
                          </wps:spPr>
                          <wps:style>
                            <a:lnRef idx="1">
                              <a:schemeClr val="dk1"/>
                            </a:lnRef>
                            <a:fillRef idx="0">
                              <a:schemeClr val="dk1"/>
                            </a:fillRef>
                            <a:effectRef idx="0">
                              <a:schemeClr val="dk1"/>
                            </a:effectRef>
                            <a:fontRef idx="minor">
                              <a:schemeClr val="tx1"/>
                            </a:fontRef>
                          </wps:style>
                          <wps:bodyPr/>
                        </wps:wsp>
                        <wps:wsp>
                          <wps:cNvPr id="8" name="Straight Arrow Connector 8"/>
                          <wps:cNvCnPr/>
                          <wps:spPr>
                            <a:xfrm>
                              <a:off x="863600" y="1536700"/>
                              <a:ext cx="800100" cy="0"/>
                            </a:xfrm>
                            <a:prstGeom prst="straightConnector1">
                              <a:avLst/>
                            </a:prstGeom>
                            <a:grpFill/>
                            <a:ln w="3175">
                              <a:tailEnd type="arrow"/>
                            </a:ln>
                          </wps:spPr>
                          <wps:style>
                            <a:lnRef idx="1">
                              <a:schemeClr val="dk1"/>
                            </a:lnRef>
                            <a:fillRef idx="0">
                              <a:schemeClr val="dk1"/>
                            </a:fillRef>
                            <a:effectRef idx="0">
                              <a:schemeClr val="dk1"/>
                            </a:effectRef>
                            <a:fontRef idx="minor">
                              <a:schemeClr val="tx1"/>
                            </a:fontRef>
                          </wps:style>
                          <wps:bodyPr/>
                        </wps:wsp>
                      </wpg:grpSp>
                      <wps:wsp>
                        <wps:cNvPr id="10" name="Rectangle 10"/>
                        <wps:cNvSpPr/>
                        <wps:spPr>
                          <a:xfrm>
                            <a:off x="3060700" y="0"/>
                            <a:ext cx="1111250" cy="1695450"/>
                          </a:xfrm>
                          <a:prstGeom prst="rect">
                            <a:avLst/>
                          </a:prstGeom>
                          <a:grpFill/>
                          <a:ln w="3175"/>
                        </wps:spPr>
                        <wps:style>
                          <a:lnRef idx="2">
                            <a:schemeClr val="dk1"/>
                          </a:lnRef>
                          <a:fillRef idx="1">
                            <a:schemeClr val="lt1"/>
                          </a:fillRef>
                          <a:effectRef idx="0">
                            <a:schemeClr val="dk1"/>
                          </a:effectRef>
                          <a:fontRef idx="minor">
                            <a:schemeClr val="dk1"/>
                          </a:fontRef>
                        </wps:style>
                        <wps:txbx>
                          <w:txbxContent>
                            <w:p w14:paraId="202BC01A" w14:textId="453E6C31" w:rsidR="00F9134C" w:rsidRDefault="00F9134C" w:rsidP="00771C4F">
                              <w:pPr>
                                <w:spacing w:after="0" w:line="240" w:lineRule="auto"/>
                                <w:rPr>
                                  <w:rFonts w:ascii="Georgia" w:hAnsi="Georgia"/>
                                  <w:sz w:val="16"/>
                                  <w:szCs w:val="16"/>
                                  <w:lang w:val="en-US"/>
                                </w:rPr>
                              </w:pPr>
                              <w:r>
                                <w:rPr>
                                  <w:rFonts w:ascii="Georgia" w:hAnsi="Georgia"/>
                                  <w:sz w:val="16"/>
                                  <w:szCs w:val="16"/>
                                  <w:lang w:val="en-US"/>
                                </w:rPr>
                                <w:t xml:space="preserve">Elaborated </w:t>
                              </w:r>
                            </w:p>
                            <w:p w14:paraId="06C96ED8" w14:textId="15A877CD" w:rsidR="00F9134C" w:rsidRPr="003F08C4" w:rsidRDefault="00F9134C" w:rsidP="00771C4F">
                              <w:pPr>
                                <w:spacing w:after="0" w:line="240" w:lineRule="auto"/>
                                <w:rPr>
                                  <w:rFonts w:ascii="Georgia" w:hAnsi="Georgia"/>
                                  <w:sz w:val="16"/>
                                  <w:szCs w:val="16"/>
                                  <w:lang w:val="en-US"/>
                                </w:rPr>
                              </w:pPr>
                              <w:r>
                                <w:rPr>
                                  <w:rFonts w:ascii="Georgia" w:hAnsi="Georgia"/>
                                  <w:sz w:val="16"/>
                                  <w:szCs w:val="16"/>
                                  <w:lang w:val="en-US"/>
                                </w:rPr>
                                <w:t>Explanations (Peer tutoring)</w:t>
                              </w:r>
                            </w:p>
                            <w:p w14:paraId="4975746B" w14:textId="77777777" w:rsidR="00F9134C" w:rsidRPr="003F08C4" w:rsidRDefault="00F9134C" w:rsidP="00771C4F">
                              <w:pPr>
                                <w:spacing w:after="0" w:line="240" w:lineRule="auto"/>
                                <w:rPr>
                                  <w:rFonts w:ascii="Georgia" w:hAnsi="Georgia"/>
                                  <w:sz w:val="16"/>
                                  <w:szCs w:val="16"/>
                                  <w:lang w:val="en-US"/>
                                </w:rPr>
                              </w:pPr>
                            </w:p>
                            <w:p w14:paraId="3A0017F2" w14:textId="77777777" w:rsidR="00F9134C" w:rsidRDefault="00F9134C" w:rsidP="00771C4F">
                              <w:pPr>
                                <w:spacing w:after="0" w:line="240" w:lineRule="auto"/>
                                <w:rPr>
                                  <w:rFonts w:ascii="Georgia" w:hAnsi="Georgia"/>
                                  <w:sz w:val="16"/>
                                  <w:szCs w:val="16"/>
                                  <w:lang w:val="en-US"/>
                                </w:rPr>
                              </w:pPr>
                            </w:p>
                            <w:p w14:paraId="0F1840A7" w14:textId="1BBEB693" w:rsidR="00F9134C" w:rsidRDefault="00F9134C" w:rsidP="00771C4F">
                              <w:pPr>
                                <w:spacing w:after="0" w:line="240" w:lineRule="auto"/>
                                <w:rPr>
                                  <w:rFonts w:ascii="Georgia" w:hAnsi="Georgia"/>
                                  <w:sz w:val="16"/>
                                  <w:szCs w:val="16"/>
                                  <w:lang w:val="en-US"/>
                                </w:rPr>
                              </w:pPr>
                              <w:r>
                                <w:rPr>
                                  <w:rFonts w:ascii="Georgia" w:hAnsi="Georgia"/>
                                  <w:sz w:val="16"/>
                                  <w:szCs w:val="16"/>
                                  <w:lang w:val="en-US"/>
                                </w:rPr>
                                <w:t>Peerr Modeling</w:t>
                              </w:r>
                            </w:p>
                            <w:p w14:paraId="7E6EEEE7" w14:textId="77777777" w:rsidR="00F9134C" w:rsidRDefault="00F9134C" w:rsidP="00771C4F">
                              <w:pPr>
                                <w:spacing w:after="0" w:line="240" w:lineRule="auto"/>
                                <w:rPr>
                                  <w:rFonts w:ascii="Georgia" w:hAnsi="Georgia"/>
                                  <w:sz w:val="16"/>
                                  <w:szCs w:val="16"/>
                                  <w:lang w:val="en-US"/>
                                </w:rPr>
                              </w:pPr>
                            </w:p>
                            <w:p w14:paraId="00D01B64" w14:textId="1FCA3D84" w:rsidR="00F9134C" w:rsidRDefault="00F9134C" w:rsidP="00771C4F">
                              <w:pPr>
                                <w:spacing w:after="0" w:line="240" w:lineRule="auto"/>
                                <w:rPr>
                                  <w:rFonts w:ascii="Georgia" w:hAnsi="Georgia"/>
                                  <w:sz w:val="16"/>
                                  <w:szCs w:val="16"/>
                                  <w:lang w:val="en-US"/>
                                </w:rPr>
                              </w:pPr>
                              <w:r>
                                <w:rPr>
                                  <w:rFonts w:ascii="Georgia" w:hAnsi="Georgia"/>
                                  <w:sz w:val="16"/>
                                  <w:szCs w:val="16"/>
                                  <w:lang w:val="en-US"/>
                                </w:rPr>
                                <w:t>Cognitive Elaborations</w:t>
                              </w:r>
                            </w:p>
                            <w:p w14:paraId="2CA6C732" w14:textId="77777777" w:rsidR="00F9134C" w:rsidRDefault="00F9134C" w:rsidP="00771C4F">
                              <w:pPr>
                                <w:spacing w:after="0" w:line="240" w:lineRule="auto"/>
                                <w:rPr>
                                  <w:rFonts w:ascii="Georgia" w:hAnsi="Georgia"/>
                                  <w:sz w:val="16"/>
                                  <w:szCs w:val="16"/>
                                  <w:lang w:val="en-US"/>
                                </w:rPr>
                              </w:pPr>
                            </w:p>
                            <w:p w14:paraId="1534A5A1" w14:textId="3577E3E4" w:rsidR="00F9134C" w:rsidRDefault="00F9134C" w:rsidP="00771C4F">
                              <w:pPr>
                                <w:spacing w:after="0" w:line="240" w:lineRule="auto"/>
                                <w:rPr>
                                  <w:rFonts w:ascii="Georgia" w:hAnsi="Georgia"/>
                                  <w:sz w:val="16"/>
                                  <w:szCs w:val="16"/>
                                  <w:lang w:val="en-US"/>
                                </w:rPr>
                              </w:pPr>
                              <w:r>
                                <w:rPr>
                                  <w:rFonts w:ascii="Georgia" w:hAnsi="Georgia"/>
                                  <w:sz w:val="16"/>
                                  <w:szCs w:val="16"/>
                                  <w:lang w:val="en-US"/>
                                </w:rPr>
                                <w:t>Peer practice</w:t>
                              </w:r>
                            </w:p>
                            <w:p w14:paraId="536E78F8" w14:textId="77777777" w:rsidR="00F9134C" w:rsidRDefault="00F9134C" w:rsidP="00771C4F">
                              <w:pPr>
                                <w:spacing w:after="0" w:line="240" w:lineRule="auto"/>
                                <w:rPr>
                                  <w:rFonts w:ascii="Georgia" w:hAnsi="Georgia"/>
                                  <w:sz w:val="16"/>
                                  <w:szCs w:val="16"/>
                                  <w:lang w:val="en-US"/>
                                </w:rPr>
                              </w:pPr>
                            </w:p>
                            <w:p w14:paraId="5023A573" w14:textId="47CE1D13" w:rsidR="00F9134C" w:rsidRDefault="00F9134C" w:rsidP="00771C4F">
                              <w:pPr>
                                <w:spacing w:after="0" w:line="240" w:lineRule="auto"/>
                                <w:rPr>
                                  <w:rFonts w:ascii="Georgia" w:hAnsi="Georgia"/>
                                  <w:sz w:val="16"/>
                                  <w:szCs w:val="16"/>
                                  <w:lang w:val="en-US"/>
                                </w:rPr>
                              </w:pPr>
                              <w:r>
                                <w:rPr>
                                  <w:rFonts w:ascii="Georgia" w:hAnsi="Georgia"/>
                                  <w:sz w:val="16"/>
                                  <w:szCs w:val="16"/>
                                  <w:lang w:val="en-US"/>
                                </w:rPr>
                                <w:t>Peer Assessment and Correction</w:t>
                              </w:r>
                            </w:p>
                            <w:p w14:paraId="30750263" w14:textId="77777777" w:rsidR="00F9134C" w:rsidRPr="003F08C4" w:rsidRDefault="00F9134C" w:rsidP="00771C4F">
                              <w:pPr>
                                <w:spacing w:after="0" w:line="240" w:lineRule="auto"/>
                                <w:jc w:val="center"/>
                                <w:rPr>
                                  <w:rFonts w:ascii="Georgia" w:hAnsi="Georgia"/>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4610100" y="463550"/>
                            <a:ext cx="933450" cy="387350"/>
                          </a:xfrm>
                          <a:prstGeom prst="rect">
                            <a:avLst/>
                          </a:prstGeom>
                          <a:grpFill/>
                          <a:ln w="3175"/>
                        </wps:spPr>
                        <wps:style>
                          <a:lnRef idx="2">
                            <a:schemeClr val="dk1"/>
                          </a:lnRef>
                          <a:fillRef idx="1">
                            <a:schemeClr val="lt1"/>
                          </a:fillRef>
                          <a:effectRef idx="0">
                            <a:schemeClr val="dk1"/>
                          </a:effectRef>
                          <a:fontRef idx="minor">
                            <a:schemeClr val="dk1"/>
                          </a:fontRef>
                        </wps:style>
                        <wps:txbx>
                          <w:txbxContent>
                            <w:p w14:paraId="3F8E75DD" w14:textId="3BBD44A9" w:rsidR="00F9134C" w:rsidRPr="00771C4F" w:rsidRDefault="00F9134C" w:rsidP="00771C4F">
                              <w:pPr>
                                <w:spacing w:line="240" w:lineRule="auto"/>
                                <w:jc w:val="center"/>
                                <w:rPr>
                                  <w:rFonts w:ascii="Georgia" w:hAnsi="Georgia"/>
                                  <w:sz w:val="16"/>
                                  <w:szCs w:val="16"/>
                                  <w:lang w:val="en-US"/>
                                </w:rPr>
                              </w:pPr>
                              <w:r w:rsidRPr="00771C4F">
                                <w:rPr>
                                  <w:rFonts w:ascii="Georgia" w:hAnsi="Georgia"/>
                                  <w:sz w:val="16"/>
                                  <w:szCs w:val="16"/>
                                  <w:lang w:val="en-US"/>
                                </w:rPr>
                                <w:t>Enhanced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traight Arrow Connector 12"/>
                        <wps:cNvCnPr/>
                        <wps:spPr>
                          <a:xfrm>
                            <a:off x="2552700" y="88900"/>
                            <a:ext cx="508000" cy="0"/>
                          </a:xfrm>
                          <a:prstGeom prst="straightConnector1">
                            <a:avLst/>
                          </a:prstGeom>
                          <a:grpFill/>
                          <a:ln w="3175">
                            <a:headEnd type="arrow"/>
                            <a:tailEnd type="arrow"/>
                          </a:ln>
                        </wps:spPr>
                        <wps:style>
                          <a:lnRef idx="1">
                            <a:schemeClr val="dk1"/>
                          </a:lnRef>
                          <a:fillRef idx="0">
                            <a:schemeClr val="dk1"/>
                          </a:fillRef>
                          <a:effectRef idx="0">
                            <a:schemeClr val="dk1"/>
                          </a:effectRef>
                          <a:fontRef idx="minor">
                            <a:schemeClr val="tx1"/>
                          </a:fontRef>
                        </wps:style>
                        <wps:bodyPr/>
                      </wps:wsp>
                      <wps:wsp>
                        <wps:cNvPr id="13" name="Straight Arrow Connector 13"/>
                        <wps:cNvCnPr/>
                        <wps:spPr>
                          <a:xfrm>
                            <a:off x="4171950" y="628650"/>
                            <a:ext cx="438150" cy="0"/>
                          </a:xfrm>
                          <a:prstGeom prst="straightConnector1">
                            <a:avLst/>
                          </a:prstGeom>
                          <a:grpFill/>
                          <a:ln w="3175">
                            <a:tailEnd type="arrow"/>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14" o:spid="_x0000_s1026" style="position:absolute;left:0;text-align:left;margin-left:52.8pt;margin-top:1.75pt;width:436.5pt;height:134pt;z-index:251670528" coordsize="55435,17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">
                <v:group id="Group 9" o:spid="_x0000_s1027" style="position:absolute;top:63;width:25527;height:16955" coordsize="25527,169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rect id="Rectangle 3" o:spid="_x0000_s1028" style="position:absolute;width:8636;height:10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OAGcMA&#10;AADaAAAADwAAAGRycy9kb3ducmV2LnhtbESPT2sCMRTE74LfIbyCN81WQWRrlNYi6Ml/baG3x+Z1&#10;k3bzst1EXb+9EQSPw8z8hpnOW1eJEzXBelbwPMhAEBdeWy4VfByW/QmIEJE1Vp5JwYUCzGfdzhRz&#10;7c+8o9M+liJBOOSowMRY51KGwpDDMPA1cfJ+fOMwJtmUUjd4TnBXyWGWjaVDy2nBYE0LQ8Xf/ugU&#10;OPv1edlu6s0kW/+/rY19/6bhr1K9p/b1BUSkNj7C9/ZKKxjB7Uq6AXJ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OAGcMAAADaAAAADwAAAAAAAAAAAAAAAACYAgAAZHJzL2Rv&#10;d25yZXYueG1sUEsFBgAAAAAEAAQA9QAAAIgDAAAAAA==&#10;" filled="f" strokecolor="black [3200]" strokeweight=".25pt">
                    <v:textbox>
                      <w:txbxContent>
                        <w:p w14:paraId="0BCD00BD" w14:textId="17D43A26" w:rsidR="00597D22" w:rsidRPr="003F08C4" w:rsidRDefault="00597D22" w:rsidP="001F6AAB">
                          <w:pPr>
                            <w:jc w:val="center"/>
                            <w:rPr>
                              <w:rFonts w:ascii="Georgia" w:hAnsi="Georgia"/>
                              <w:sz w:val="16"/>
                              <w:szCs w:val="16"/>
                              <w:lang w:val="en-US"/>
                            </w:rPr>
                          </w:pPr>
                          <w:r w:rsidRPr="003F08C4">
                            <w:rPr>
                              <w:rFonts w:ascii="Georgia" w:hAnsi="Georgia"/>
                              <w:sz w:val="16"/>
                              <w:szCs w:val="16"/>
                              <w:lang w:val="en-US"/>
                            </w:rPr>
                            <w:t xml:space="preserve">Group Goals Based and </w:t>
                          </w:r>
                          <w:proofErr w:type="gramStart"/>
                          <w:r w:rsidRPr="003F08C4">
                            <w:rPr>
                              <w:rFonts w:ascii="Georgia" w:hAnsi="Georgia"/>
                              <w:sz w:val="16"/>
                              <w:szCs w:val="16"/>
                              <w:lang w:val="en-US"/>
                            </w:rPr>
                            <w:t>Learning</w:t>
                          </w:r>
                          <w:proofErr w:type="gramEnd"/>
                          <w:r w:rsidRPr="003F08C4">
                            <w:rPr>
                              <w:rFonts w:ascii="Georgia" w:hAnsi="Georgia"/>
                              <w:sz w:val="16"/>
                              <w:szCs w:val="16"/>
                              <w:lang w:val="en-US"/>
                            </w:rPr>
                            <w:t xml:space="preserve"> fo all group members</w:t>
                          </w:r>
                        </w:p>
                      </w:txbxContent>
                    </v:textbox>
                  </v:rect>
                  <v:rect id="Rectangle 4" o:spid="_x0000_s1029" style="position:absolute;top:13652;width:8636;height:33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YbcMA&#10;AADaAAAADwAAAGRycy9kb3ducmV2LnhtbESPT2sCMRTE74LfIbyCN81WRGRrlNYi6Ml/baG3x+Z1&#10;k3bzst1EXb+9EQSPw8z8hpnOW1eJEzXBelbwPMhAEBdeWy4VfByW/QmIEJE1Vp5JwYUCzGfdzhRz&#10;7c+8o9M+liJBOOSowMRY51KGwpDDMPA1cfJ+fOMwJtmUUjd4TnBXyWGWjaVDy2nBYE0LQ8Xf/ugU&#10;OPv1edlu6s0kW/+/rY19/6bhr1K9p/b1BUSkNj7C9/ZKKxjB7Uq6AXJ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oYbcMAAADaAAAADwAAAAAAAAAAAAAAAACYAgAAZHJzL2Rv&#10;d25yZXYueG1sUEsFBgAAAAAEAAQA9QAAAIgDAAAAAA==&#10;" filled="f" strokecolor="black [3200]" strokeweight=".25pt">
                    <v:textbox>
                      <w:txbxContent>
                        <w:p w14:paraId="5C3D71C1" w14:textId="51659A60" w:rsidR="00597D22" w:rsidRPr="003F08C4" w:rsidRDefault="00597D22" w:rsidP="003F08C4">
                          <w:pPr>
                            <w:jc w:val="center"/>
                            <w:rPr>
                              <w:rFonts w:ascii="Georgia" w:hAnsi="Georgia"/>
                              <w:sz w:val="16"/>
                              <w:szCs w:val="16"/>
                              <w:lang w:val="en-US"/>
                            </w:rPr>
                          </w:pPr>
                          <w:r w:rsidRPr="003F08C4">
                            <w:rPr>
                              <w:rFonts w:ascii="Georgia" w:hAnsi="Georgia"/>
                              <w:sz w:val="16"/>
                              <w:szCs w:val="16"/>
                              <w:lang w:val="en-US"/>
                            </w:rPr>
                            <w:t>Social cohesion</w:t>
                          </w:r>
                        </w:p>
                      </w:txbxContent>
                    </v:textbox>
                  </v:rect>
                  <v:shapetype id="_x0000_t32" coordsize="21600,21600" o:spt="32" o:oned="t" path="m,l21600,21600e" filled="f">
                    <v:path arrowok="t" fillok="f" o:connecttype="none"/>
                    <o:lock v:ext="edit" shapetype="t"/>
                  </v:shapetype>
                  <v:shape id="Straight Arrow Connector 5" o:spid="_x0000_s1030" type="#_x0000_t32" style="position:absolute;left:4127;top:10477;width:0;height:31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QtdcQAAADaAAAADwAAAGRycy9kb3ducmV2LnhtbESPW2sCMRSE3wX/QziCL1KzChZZjdIq&#10;3kBKveDzYXO6Wbo5WTdR13/fFAp9HGbmG2Y6b2wp7lT7wrGCQT8BQZw5XXCu4HxavYxB+ICssXRM&#10;Cp7kYT5rt6aYavfgA92PIRcRwj5FBSaEKpXSZ4Ys+r6riKP35WqLIco6l7rGR4TbUg6T5FVaLDgu&#10;GKxoYSj7Pt6sgs37dfvpbrv1R++51Jf9zowH64NS3U7zNgERqAn/4b/2VisYwe+VeAPk7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NC11xAAAANoAAAAPAAAAAAAAAAAA&#10;AAAAAKECAABkcnMvZG93bnJldi54bWxQSwUGAAAAAAQABAD5AAAAkgMAAAAA&#10;" strokecolor="black [3040]" strokeweight=".25pt">
                    <v:stroke endarrow="open"/>
                  </v:shape>
                  <v:rect id="Rectangle 6" o:spid="_x0000_s1031" style="position:absolute;left:16637;width:8890;height:16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jgcMA&#10;AADaAAAADwAAAGRycy9kb3ducmV2LnhtbESPQWsCMRSE74L/ITyhN83Wg8hqFK0I9aRVW+jtsXnd&#10;RDcv202q6783BcHjMDPfMNN56ypxoSZYzwpeBxkI4sJry6WC42HdH4MIEVlj5ZkU3CjAfNbtTDHX&#10;/sofdNnHUiQIhxwVmBjrXMpQGHIYBr4mTt6PbxzGJJtS6gavCe4qOcyykXRoOS0YrOnNUHHe/zkF&#10;zn593nbbejvONr/LjbGrbxqelHrptYsJiEhtfIYf7XetYAT/V9IN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QjgcMAAADaAAAADwAAAAAAAAAAAAAAAACYAgAAZHJzL2Rv&#10;d25yZXYueG1sUEsFBgAAAAAEAAQA9QAAAIgDAAAAAA==&#10;" filled="f" strokecolor="black [3200]" strokeweight=".25pt">
                    <v:textbox>
                      <w:txbxContent>
                        <w:p w14:paraId="4CD83A00" w14:textId="3C4A2928" w:rsidR="00597D22" w:rsidRPr="003F08C4" w:rsidRDefault="00597D22" w:rsidP="003F08C4">
                          <w:pPr>
                            <w:spacing w:after="0" w:line="240" w:lineRule="auto"/>
                            <w:rPr>
                              <w:rFonts w:ascii="Georgia" w:hAnsi="Georgia"/>
                              <w:sz w:val="16"/>
                              <w:szCs w:val="16"/>
                              <w:lang w:val="en-US"/>
                            </w:rPr>
                          </w:pPr>
                          <w:r w:rsidRPr="003F08C4">
                            <w:rPr>
                              <w:rFonts w:ascii="Georgia" w:hAnsi="Georgia"/>
                              <w:sz w:val="16"/>
                              <w:szCs w:val="16"/>
                              <w:lang w:val="en-US"/>
                            </w:rPr>
                            <w:t>Motivation to learn</w:t>
                          </w:r>
                        </w:p>
                        <w:p w14:paraId="0419C637" w14:textId="77777777" w:rsidR="00597D22" w:rsidRPr="003F08C4" w:rsidRDefault="00597D22" w:rsidP="003F08C4">
                          <w:pPr>
                            <w:spacing w:after="0" w:line="240" w:lineRule="auto"/>
                            <w:rPr>
                              <w:rFonts w:ascii="Georgia" w:hAnsi="Georgia"/>
                              <w:sz w:val="16"/>
                              <w:szCs w:val="16"/>
                              <w:lang w:val="en-US"/>
                            </w:rPr>
                          </w:pPr>
                        </w:p>
                        <w:p w14:paraId="438ADF4E" w14:textId="77777777" w:rsidR="00597D22" w:rsidRDefault="00597D22" w:rsidP="003F08C4">
                          <w:pPr>
                            <w:spacing w:after="0" w:line="240" w:lineRule="auto"/>
                            <w:rPr>
                              <w:rFonts w:ascii="Georgia" w:hAnsi="Georgia"/>
                              <w:sz w:val="16"/>
                              <w:szCs w:val="16"/>
                              <w:lang w:val="en-US"/>
                            </w:rPr>
                          </w:pPr>
                        </w:p>
                        <w:p w14:paraId="76055DDF" w14:textId="77777777" w:rsidR="00597D22" w:rsidRPr="003F08C4" w:rsidRDefault="00597D22" w:rsidP="003F08C4">
                          <w:pPr>
                            <w:spacing w:after="0" w:line="240" w:lineRule="auto"/>
                            <w:rPr>
                              <w:rFonts w:ascii="Georgia" w:hAnsi="Georgia"/>
                              <w:sz w:val="16"/>
                              <w:szCs w:val="16"/>
                              <w:lang w:val="en-US"/>
                            </w:rPr>
                          </w:pPr>
                          <w:r w:rsidRPr="003F08C4">
                            <w:rPr>
                              <w:rFonts w:ascii="Georgia" w:hAnsi="Georgia"/>
                              <w:sz w:val="16"/>
                              <w:szCs w:val="16"/>
                              <w:lang w:val="en-US"/>
                            </w:rPr>
                            <w:t>Motivation</w:t>
                          </w:r>
                        </w:p>
                        <w:p w14:paraId="6BD5E7EC" w14:textId="62412F12" w:rsidR="00597D22" w:rsidRPr="003F08C4" w:rsidRDefault="00597D22" w:rsidP="003F08C4">
                          <w:pPr>
                            <w:spacing w:after="0" w:line="240" w:lineRule="auto"/>
                            <w:rPr>
                              <w:rFonts w:ascii="Georgia" w:hAnsi="Georgia"/>
                              <w:sz w:val="16"/>
                              <w:szCs w:val="16"/>
                              <w:lang w:val="en-US"/>
                            </w:rPr>
                          </w:pPr>
                          <w:r w:rsidRPr="003F08C4">
                            <w:rPr>
                              <w:rFonts w:ascii="Georgia" w:hAnsi="Georgia"/>
                              <w:sz w:val="16"/>
                              <w:szCs w:val="16"/>
                              <w:lang w:val="en-US"/>
                            </w:rPr>
                            <w:t>Encourage</w:t>
                          </w:r>
                        </w:p>
                        <w:p w14:paraId="79B7AFEF" w14:textId="242541F1" w:rsidR="00597D22" w:rsidRDefault="00597D22" w:rsidP="003F08C4">
                          <w:pPr>
                            <w:spacing w:after="0" w:line="240" w:lineRule="auto"/>
                            <w:rPr>
                              <w:rFonts w:ascii="Georgia" w:hAnsi="Georgia"/>
                              <w:sz w:val="16"/>
                              <w:szCs w:val="16"/>
                              <w:lang w:val="en-US"/>
                            </w:rPr>
                          </w:pPr>
                          <w:r w:rsidRPr="003F08C4">
                            <w:rPr>
                              <w:rFonts w:ascii="Georgia" w:hAnsi="Georgia"/>
                              <w:sz w:val="16"/>
                              <w:szCs w:val="16"/>
                              <w:lang w:val="en-US"/>
                            </w:rPr>
                            <w:t>Groupmates to Lea</w:t>
                          </w:r>
                          <w:r>
                            <w:rPr>
                              <w:rFonts w:ascii="Georgia" w:hAnsi="Georgia"/>
                              <w:sz w:val="16"/>
                              <w:szCs w:val="16"/>
                              <w:lang w:val="en-US"/>
                            </w:rPr>
                            <w:t>rn</w:t>
                          </w:r>
                        </w:p>
                        <w:p w14:paraId="445F913E" w14:textId="77777777" w:rsidR="00597D22" w:rsidRDefault="00597D22" w:rsidP="003F08C4">
                          <w:pPr>
                            <w:spacing w:after="0" w:line="240" w:lineRule="auto"/>
                            <w:rPr>
                              <w:rFonts w:ascii="Georgia" w:hAnsi="Georgia"/>
                              <w:sz w:val="16"/>
                              <w:szCs w:val="16"/>
                              <w:lang w:val="en-US"/>
                            </w:rPr>
                          </w:pPr>
                        </w:p>
                        <w:p w14:paraId="2153D76F" w14:textId="77777777" w:rsidR="00597D22" w:rsidRDefault="00597D22" w:rsidP="003F08C4">
                          <w:pPr>
                            <w:spacing w:after="0" w:line="240" w:lineRule="auto"/>
                            <w:rPr>
                              <w:rFonts w:ascii="Georgia" w:hAnsi="Georgia"/>
                              <w:sz w:val="16"/>
                              <w:szCs w:val="16"/>
                              <w:lang w:val="en-US"/>
                            </w:rPr>
                          </w:pPr>
                        </w:p>
                        <w:p w14:paraId="287C83FC" w14:textId="219BC202" w:rsidR="00597D22" w:rsidRDefault="00597D22" w:rsidP="003F08C4">
                          <w:pPr>
                            <w:spacing w:after="0" w:line="240" w:lineRule="auto"/>
                            <w:rPr>
                              <w:rFonts w:ascii="Georgia" w:hAnsi="Georgia"/>
                              <w:sz w:val="16"/>
                              <w:szCs w:val="16"/>
                              <w:lang w:val="en-US"/>
                            </w:rPr>
                          </w:pPr>
                          <w:r>
                            <w:rPr>
                              <w:rFonts w:ascii="Georgia" w:hAnsi="Georgia"/>
                              <w:sz w:val="16"/>
                              <w:szCs w:val="16"/>
                              <w:lang w:val="en-US"/>
                            </w:rPr>
                            <w:t>Motivation Help</w:t>
                          </w:r>
                        </w:p>
                        <w:p w14:paraId="52AAD3C7" w14:textId="77777777" w:rsidR="00597D22" w:rsidRDefault="00597D22" w:rsidP="003F08C4">
                          <w:pPr>
                            <w:spacing w:after="0" w:line="240" w:lineRule="auto"/>
                            <w:rPr>
                              <w:rFonts w:ascii="Georgia" w:hAnsi="Georgia"/>
                              <w:sz w:val="16"/>
                              <w:szCs w:val="16"/>
                              <w:lang w:val="en-US"/>
                            </w:rPr>
                          </w:pPr>
                          <w:r w:rsidRPr="003F08C4">
                            <w:rPr>
                              <w:rFonts w:ascii="Georgia" w:hAnsi="Georgia"/>
                              <w:sz w:val="16"/>
                              <w:szCs w:val="16"/>
                              <w:lang w:val="en-US"/>
                            </w:rPr>
                            <w:t>Groupmates to Lea</w:t>
                          </w:r>
                          <w:r>
                            <w:rPr>
                              <w:rFonts w:ascii="Georgia" w:hAnsi="Georgia"/>
                              <w:sz w:val="16"/>
                              <w:szCs w:val="16"/>
                              <w:lang w:val="en-US"/>
                            </w:rPr>
                            <w:t>rn</w:t>
                          </w:r>
                        </w:p>
                        <w:p w14:paraId="6131E854" w14:textId="77777777" w:rsidR="00597D22" w:rsidRPr="003F08C4" w:rsidRDefault="00597D22" w:rsidP="003F08C4">
                          <w:pPr>
                            <w:spacing w:after="0" w:line="240" w:lineRule="auto"/>
                            <w:jc w:val="center"/>
                            <w:rPr>
                              <w:rFonts w:ascii="Georgia" w:hAnsi="Georgia"/>
                              <w:sz w:val="16"/>
                              <w:szCs w:val="16"/>
                              <w:lang w:val="en-US"/>
                            </w:rPr>
                          </w:pPr>
                        </w:p>
                      </w:txbxContent>
                    </v:textbox>
                  </v:rect>
                  <v:shape id="Straight Arrow Connector 7" o:spid="_x0000_s1032" type="#_x0000_t32" style="position:absolute;left:8636;top:825;width:80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oWmcUAAADaAAAADwAAAGRycy9kb3ducmV2LnhtbESPW2sCMRSE3wX/QziCL1Kz+mBlNUqr&#10;eAMp9YLPh83pZunmZN1EXf99Uyj0cZiZb5jpvLGluFPtC8cKBv0EBHHmdMG5gvNp9TIG4QOyxtIx&#10;KXiSh/ms3Zpiqt2DD3Q/hlxECPsUFZgQqlRKnxmy6PuuIo7el6sthijrXOoaHxFuSzlMkpG0WHBc&#10;MFjRwlD2fbxZBZv36/bT3Xbrj95zqS/7nRkP1gelup3mbQIiUBP+w3/trVbwCr9X4g2Qs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KoWmcUAAADaAAAADwAAAAAAAAAA&#10;AAAAAAChAgAAZHJzL2Rvd25yZXYueG1sUEsFBgAAAAAEAAQA+QAAAJMDAAAAAA==&#10;" strokecolor="black [3040]" strokeweight=".25pt">
                    <v:stroke endarrow="open"/>
                  </v:shape>
                  <v:shape id="Straight Arrow Connector 8" o:spid="_x0000_s1033" type="#_x0000_t32" style="position:absolute;left:8636;top:15367;width:80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WC68IAAADaAAAADwAAAGRycy9kb3ducmV2LnhtbERPy2rCQBTdC/2H4Ra6Kc3ELkTSjNIH&#10;agSRasX1JXObCc3ciZnRxL93FgWXh/PO54NtxIU6XztWME5SEMSl0zVXCg4/i5cpCB+QNTaOScGV&#10;PMxnD6McM+163tFlHyoRQ9hnqMCE0GZS+tKQRZ+4ljhyv66zGCLsKqk77GO4beRrmk6kxZpjg8GW&#10;Pg2Vf/uzVbD6OBXf7rxebp+vX/q4WZvpeLlT6ulxeH8DEWgId/G/u9AK4tZ4Jd4AOb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TWC68IAAADaAAAADwAAAAAAAAAAAAAA&#10;AAChAgAAZHJzL2Rvd25yZXYueG1sUEsFBgAAAAAEAAQA+QAAAJADAAAAAA==&#10;" strokecolor="black [3040]" strokeweight=".25pt">
                    <v:stroke endarrow="open"/>
                  </v:shape>
                </v:group>
                <v:rect id="Rectangle 10" o:spid="_x0000_s1034" style="position:absolute;left:30607;width:11112;height:16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gWtcUA&#10;AADbAAAADwAAAGRycy9kb3ducmV2LnhtbESPzW4CMQyE70h9h8iVuJVsOSC0JaD+qBKcoNBW4mZt&#10;zCbtxlk2AZa3rw+VuNma8czn2aIPjTpTl3xkA4+jAhRxFa3n2sDn7v1hCiplZItNZDJwpQSL+d1g&#10;hqWNF/6g8zbXSkI4lWjA5dyWWqfKUcA0ii2xaIfYBcyydrW2HV4kPDR6XBQTHdCzNDhs6dVR9bs9&#10;BQPBf39dN+t2PS1Wx5eV8297Gv8YM7zvn59AZerzzfx/vbSCL/Tyiwy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GBa1xQAAANsAAAAPAAAAAAAAAAAAAAAAAJgCAABkcnMv&#10;ZG93bnJldi54bWxQSwUGAAAAAAQABAD1AAAAigMAAAAA&#10;" filled="f" strokecolor="black [3200]" strokeweight=".25pt">
                  <v:textbox>
                    <w:txbxContent>
                      <w:p w14:paraId="202BC01A" w14:textId="453E6C31" w:rsidR="00597D22" w:rsidRDefault="00597D22" w:rsidP="00771C4F">
                        <w:pPr>
                          <w:spacing w:after="0" w:line="240" w:lineRule="auto"/>
                          <w:rPr>
                            <w:rFonts w:ascii="Georgia" w:hAnsi="Georgia"/>
                            <w:sz w:val="16"/>
                            <w:szCs w:val="16"/>
                            <w:lang w:val="en-US"/>
                          </w:rPr>
                        </w:pPr>
                        <w:r>
                          <w:rPr>
                            <w:rFonts w:ascii="Georgia" w:hAnsi="Georgia"/>
                            <w:sz w:val="16"/>
                            <w:szCs w:val="16"/>
                            <w:lang w:val="en-US"/>
                          </w:rPr>
                          <w:t xml:space="preserve">Elaborated </w:t>
                        </w:r>
                      </w:p>
                      <w:p w14:paraId="06C96ED8" w14:textId="15A877CD" w:rsidR="00597D22" w:rsidRPr="003F08C4" w:rsidRDefault="00597D22" w:rsidP="00771C4F">
                        <w:pPr>
                          <w:spacing w:after="0" w:line="240" w:lineRule="auto"/>
                          <w:rPr>
                            <w:rFonts w:ascii="Georgia" w:hAnsi="Georgia"/>
                            <w:sz w:val="16"/>
                            <w:szCs w:val="16"/>
                            <w:lang w:val="en-US"/>
                          </w:rPr>
                        </w:pPr>
                        <w:r>
                          <w:rPr>
                            <w:rFonts w:ascii="Georgia" w:hAnsi="Georgia"/>
                            <w:sz w:val="16"/>
                            <w:szCs w:val="16"/>
                            <w:lang w:val="en-US"/>
                          </w:rPr>
                          <w:t>Explanations (Peer tutoring)</w:t>
                        </w:r>
                      </w:p>
                      <w:p w14:paraId="4975746B" w14:textId="77777777" w:rsidR="00597D22" w:rsidRPr="003F08C4" w:rsidRDefault="00597D22" w:rsidP="00771C4F">
                        <w:pPr>
                          <w:spacing w:after="0" w:line="240" w:lineRule="auto"/>
                          <w:rPr>
                            <w:rFonts w:ascii="Georgia" w:hAnsi="Georgia"/>
                            <w:sz w:val="16"/>
                            <w:szCs w:val="16"/>
                            <w:lang w:val="en-US"/>
                          </w:rPr>
                        </w:pPr>
                      </w:p>
                      <w:p w14:paraId="3A0017F2" w14:textId="77777777" w:rsidR="00597D22" w:rsidRDefault="00597D22" w:rsidP="00771C4F">
                        <w:pPr>
                          <w:spacing w:after="0" w:line="240" w:lineRule="auto"/>
                          <w:rPr>
                            <w:rFonts w:ascii="Georgia" w:hAnsi="Georgia"/>
                            <w:sz w:val="16"/>
                            <w:szCs w:val="16"/>
                            <w:lang w:val="en-US"/>
                          </w:rPr>
                        </w:pPr>
                      </w:p>
                      <w:p w14:paraId="0F1840A7" w14:textId="1BBEB693" w:rsidR="00597D22" w:rsidRDefault="00597D22" w:rsidP="00771C4F">
                        <w:pPr>
                          <w:spacing w:after="0" w:line="240" w:lineRule="auto"/>
                          <w:rPr>
                            <w:rFonts w:ascii="Georgia" w:hAnsi="Georgia"/>
                            <w:sz w:val="16"/>
                            <w:szCs w:val="16"/>
                            <w:lang w:val="en-US"/>
                          </w:rPr>
                        </w:pPr>
                        <w:r>
                          <w:rPr>
                            <w:rFonts w:ascii="Georgia" w:hAnsi="Georgia"/>
                            <w:sz w:val="16"/>
                            <w:szCs w:val="16"/>
                            <w:lang w:val="en-US"/>
                          </w:rPr>
                          <w:t>Peerr Modeling</w:t>
                        </w:r>
                      </w:p>
                      <w:p w14:paraId="7E6EEEE7" w14:textId="77777777" w:rsidR="00597D22" w:rsidRDefault="00597D22" w:rsidP="00771C4F">
                        <w:pPr>
                          <w:spacing w:after="0" w:line="240" w:lineRule="auto"/>
                          <w:rPr>
                            <w:rFonts w:ascii="Georgia" w:hAnsi="Georgia"/>
                            <w:sz w:val="16"/>
                            <w:szCs w:val="16"/>
                            <w:lang w:val="en-US"/>
                          </w:rPr>
                        </w:pPr>
                      </w:p>
                      <w:p w14:paraId="00D01B64" w14:textId="1FCA3D84" w:rsidR="00597D22" w:rsidRDefault="00597D22" w:rsidP="00771C4F">
                        <w:pPr>
                          <w:spacing w:after="0" w:line="240" w:lineRule="auto"/>
                          <w:rPr>
                            <w:rFonts w:ascii="Georgia" w:hAnsi="Georgia"/>
                            <w:sz w:val="16"/>
                            <w:szCs w:val="16"/>
                            <w:lang w:val="en-US"/>
                          </w:rPr>
                        </w:pPr>
                        <w:r>
                          <w:rPr>
                            <w:rFonts w:ascii="Georgia" w:hAnsi="Georgia"/>
                            <w:sz w:val="16"/>
                            <w:szCs w:val="16"/>
                            <w:lang w:val="en-US"/>
                          </w:rPr>
                          <w:t>Cognitive Elaborations</w:t>
                        </w:r>
                      </w:p>
                      <w:p w14:paraId="2CA6C732" w14:textId="77777777" w:rsidR="00597D22" w:rsidRDefault="00597D22" w:rsidP="00771C4F">
                        <w:pPr>
                          <w:spacing w:after="0" w:line="240" w:lineRule="auto"/>
                          <w:rPr>
                            <w:rFonts w:ascii="Georgia" w:hAnsi="Georgia"/>
                            <w:sz w:val="16"/>
                            <w:szCs w:val="16"/>
                            <w:lang w:val="en-US"/>
                          </w:rPr>
                        </w:pPr>
                      </w:p>
                      <w:p w14:paraId="1534A5A1" w14:textId="3577E3E4" w:rsidR="00597D22" w:rsidRDefault="00597D22" w:rsidP="00771C4F">
                        <w:pPr>
                          <w:spacing w:after="0" w:line="240" w:lineRule="auto"/>
                          <w:rPr>
                            <w:rFonts w:ascii="Georgia" w:hAnsi="Georgia"/>
                            <w:sz w:val="16"/>
                            <w:szCs w:val="16"/>
                            <w:lang w:val="en-US"/>
                          </w:rPr>
                        </w:pPr>
                        <w:r>
                          <w:rPr>
                            <w:rFonts w:ascii="Georgia" w:hAnsi="Georgia"/>
                            <w:sz w:val="16"/>
                            <w:szCs w:val="16"/>
                            <w:lang w:val="en-US"/>
                          </w:rPr>
                          <w:t>Peer practice</w:t>
                        </w:r>
                      </w:p>
                      <w:p w14:paraId="536E78F8" w14:textId="77777777" w:rsidR="00597D22" w:rsidRDefault="00597D22" w:rsidP="00771C4F">
                        <w:pPr>
                          <w:spacing w:after="0" w:line="240" w:lineRule="auto"/>
                          <w:rPr>
                            <w:rFonts w:ascii="Georgia" w:hAnsi="Georgia"/>
                            <w:sz w:val="16"/>
                            <w:szCs w:val="16"/>
                            <w:lang w:val="en-US"/>
                          </w:rPr>
                        </w:pPr>
                      </w:p>
                      <w:p w14:paraId="5023A573" w14:textId="47CE1D13" w:rsidR="00597D22" w:rsidRDefault="00597D22" w:rsidP="00771C4F">
                        <w:pPr>
                          <w:spacing w:after="0" w:line="240" w:lineRule="auto"/>
                          <w:rPr>
                            <w:rFonts w:ascii="Georgia" w:hAnsi="Georgia"/>
                            <w:sz w:val="16"/>
                            <w:szCs w:val="16"/>
                            <w:lang w:val="en-US"/>
                          </w:rPr>
                        </w:pPr>
                        <w:r>
                          <w:rPr>
                            <w:rFonts w:ascii="Georgia" w:hAnsi="Georgia"/>
                            <w:sz w:val="16"/>
                            <w:szCs w:val="16"/>
                            <w:lang w:val="en-US"/>
                          </w:rPr>
                          <w:t>Peer Assessment and Correction</w:t>
                        </w:r>
                      </w:p>
                      <w:p w14:paraId="30750263" w14:textId="77777777" w:rsidR="00597D22" w:rsidRPr="003F08C4" w:rsidRDefault="00597D22" w:rsidP="00771C4F">
                        <w:pPr>
                          <w:spacing w:after="0" w:line="240" w:lineRule="auto"/>
                          <w:jc w:val="center"/>
                          <w:rPr>
                            <w:rFonts w:ascii="Georgia" w:hAnsi="Georgia"/>
                            <w:sz w:val="16"/>
                            <w:szCs w:val="16"/>
                            <w:lang w:val="en-US"/>
                          </w:rPr>
                        </w:pPr>
                      </w:p>
                    </w:txbxContent>
                  </v:textbox>
                </v:rect>
                <v:rect id="Rectangle 11" o:spid="_x0000_s1035" style="position:absolute;left:46101;top:4635;width:9334;height:38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SzLsIA&#10;AADbAAAADwAAAGRycy9kb3ducmV2LnhtbERPS2sCMRC+F/ofwgi91ex6ENkapbUU9LQ+quBt2Iyb&#10;tJvJdpPq+u+NUOhtPr7nTOe9a8SZumA9K8iHGQjiymvLtYLP3cfzBESIyBobz6TgSgHms8eHKRba&#10;X3hD522sRQrhUKACE2NbSBkqQw7D0LfEiTv5zmFMsKul7vCSwl0jR1k2lg4tpwaDLS0MVd/bX6fA&#10;2cP+ui7bcpKtft5Wxr4fafSl1NOgf30BEamP/+I/91Kn+Tncf0kHyN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VLMuwgAAANsAAAAPAAAAAAAAAAAAAAAAAJgCAABkcnMvZG93&#10;bnJldi54bWxQSwUGAAAAAAQABAD1AAAAhwMAAAAA&#10;" filled="f" strokecolor="black [3200]" strokeweight=".25pt">
                  <v:textbox>
                    <w:txbxContent>
                      <w:p w14:paraId="3F8E75DD" w14:textId="3BBD44A9" w:rsidR="00597D22" w:rsidRPr="00771C4F" w:rsidRDefault="00597D22" w:rsidP="00771C4F">
                        <w:pPr>
                          <w:spacing w:line="240" w:lineRule="auto"/>
                          <w:jc w:val="center"/>
                          <w:rPr>
                            <w:rFonts w:ascii="Georgia" w:hAnsi="Georgia"/>
                            <w:sz w:val="16"/>
                            <w:szCs w:val="16"/>
                            <w:lang w:val="en-US"/>
                          </w:rPr>
                        </w:pPr>
                        <w:r w:rsidRPr="00771C4F">
                          <w:rPr>
                            <w:rFonts w:ascii="Georgia" w:hAnsi="Georgia"/>
                            <w:sz w:val="16"/>
                            <w:szCs w:val="16"/>
                            <w:lang w:val="en-US"/>
                          </w:rPr>
                          <w:t>Enhanced Learning</w:t>
                        </w:r>
                      </w:p>
                    </w:txbxContent>
                  </v:textbox>
                </v:rect>
                <v:shape id="Straight Arrow Connector 12" o:spid="_x0000_s1036" type="#_x0000_t32" style="position:absolute;left:25527;top:889;width:50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S/z78AAADbAAAADwAAAGRycy9kb3ducmV2LnhtbERPTYvCMBC9C/sfwgh701QPotVYRBRk&#10;wYOueB6asS1tJt1m1PrvNwvC3ubxPmeV9a5RD+pC5dnAZJyAIs69rbgwcPnej+aggiBbbDyTgRcF&#10;yNYfgxWm1j/5RI+zFCqGcEjRQCnSplqHvCSHYexb4sjdfOdQIuwKbTt8xnDX6GmSzLTDimNDiS1t&#10;S8rr890ZWNxvC7lOdH36Ytm/fnbH2dGJMZ/DfrMEJdTLv/jtPtg4fwp/v8QD9PoX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BS/z78AAADbAAAADwAAAAAAAAAAAAAAAACh&#10;AgAAZHJzL2Rvd25yZXYueG1sUEsFBgAAAAAEAAQA+QAAAI0DAAAAAA==&#10;" strokecolor="black [3040]" strokeweight=".25pt">
                  <v:stroke startarrow="open" endarrow="open"/>
                </v:shape>
                <v:shape id="Straight Arrow Connector 13" o:spid="_x0000_s1037" type="#_x0000_t32" style="position:absolute;left:41719;top:6286;width:43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2y5isMAAADbAAAADwAAAGRycy9kb3ducmV2LnhtbERP22oCMRB9F/yHMIIvUrMqFFmN0ire&#10;QEq94POwmW6WbibrJur6902h0Lc5nOtM540txZ1qXzhWMOgnIIgzpwvOFZxPq5cxCB+QNZaOScGT&#10;PMxn7dYUU+0efKD7MeQihrBPUYEJoUql9Jkhi77vKuLIfbnaYoiwzqWu8RHDbSmHSfIqLRYcGwxW&#10;tDCUfR9vVsHm/br9dLfd+qP3XOrLfmfGg/VBqW6neZuACNSEf/Gfe6vj/BH8/hIPkL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suYrDAAAA2wAAAA8AAAAAAAAAAAAA&#10;AAAAoQIAAGRycy9kb3ducmV2LnhtbFBLBQYAAAAABAAEAPkAAACRAwAAAAA=&#10;" strokecolor="black [3040]" strokeweight=".25pt">
                  <v:stroke endarrow="open"/>
                </v:shape>
              </v:group>
            </w:pict>
          </mc:Fallback>
        </mc:AlternateContent>
      </w:r>
    </w:p>
    <w:p w14:paraId="57915E13" w14:textId="77777777" w:rsidR="005336ED" w:rsidRDefault="005336ED" w:rsidP="00EC1308">
      <w:pPr>
        <w:spacing w:after="0"/>
        <w:ind w:firstLine="567"/>
        <w:jc w:val="both"/>
        <w:rPr>
          <w:rFonts w:ascii="Georgia" w:hAnsi="Georgia" w:cs="Times New Roman"/>
          <w:color w:val="222222"/>
          <w:lang w:val="en-US"/>
        </w:rPr>
      </w:pPr>
    </w:p>
    <w:p w14:paraId="7ED2F283" w14:textId="5D4BDA45" w:rsidR="005336ED" w:rsidRDefault="005336ED" w:rsidP="00EC1308">
      <w:pPr>
        <w:spacing w:after="0"/>
        <w:ind w:firstLine="567"/>
        <w:jc w:val="both"/>
        <w:rPr>
          <w:rFonts w:ascii="Georgia" w:hAnsi="Georgia" w:cs="Times New Roman"/>
          <w:color w:val="222222"/>
          <w:lang w:val="en-US"/>
        </w:rPr>
      </w:pPr>
    </w:p>
    <w:p w14:paraId="7DAE9634" w14:textId="794237CF" w:rsidR="005336ED" w:rsidRDefault="005336ED" w:rsidP="00EC1308">
      <w:pPr>
        <w:spacing w:after="0"/>
        <w:ind w:firstLine="567"/>
        <w:jc w:val="both"/>
        <w:rPr>
          <w:rFonts w:ascii="Georgia" w:hAnsi="Georgia" w:cs="Times New Roman"/>
          <w:color w:val="222222"/>
          <w:lang w:val="en-US"/>
        </w:rPr>
      </w:pPr>
    </w:p>
    <w:p w14:paraId="2DC54A71" w14:textId="501ED7C6" w:rsidR="005336ED" w:rsidRDefault="005336ED" w:rsidP="00EC1308">
      <w:pPr>
        <w:spacing w:after="0"/>
        <w:ind w:firstLine="567"/>
        <w:jc w:val="both"/>
        <w:rPr>
          <w:rFonts w:ascii="Georgia" w:hAnsi="Georgia" w:cs="Times New Roman"/>
          <w:color w:val="222222"/>
          <w:lang w:val="en-US"/>
        </w:rPr>
      </w:pPr>
    </w:p>
    <w:p w14:paraId="3A7D41A1" w14:textId="39E2F92E" w:rsidR="00F71886" w:rsidRDefault="00F71886" w:rsidP="00EC1F45">
      <w:pPr>
        <w:spacing w:after="0"/>
        <w:ind w:firstLine="567"/>
        <w:jc w:val="both"/>
        <w:rPr>
          <w:rFonts w:ascii="Georgia" w:hAnsi="Georgia" w:cs="Times New Roman"/>
          <w:color w:val="222222"/>
          <w:lang w:val="en-US"/>
        </w:rPr>
      </w:pPr>
    </w:p>
    <w:p w14:paraId="1C14AD1F" w14:textId="4789D5CD" w:rsidR="00E759F5" w:rsidRDefault="00E759F5" w:rsidP="004120BF">
      <w:pPr>
        <w:spacing w:after="0"/>
        <w:ind w:firstLine="567"/>
        <w:jc w:val="both"/>
        <w:rPr>
          <w:rFonts w:ascii="Georgia" w:hAnsi="Georgia" w:cs="Times New Roman"/>
          <w:color w:val="222222"/>
          <w:lang w:val="en-US"/>
        </w:rPr>
      </w:pPr>
    </w:p>
    <w:p w14:paraId="60423748" w14:textId="0D1C7A0E" w:rsidR="00E759F5" w:rsidRPr="00E759F5" w:rsidRDefault="00E759F5" w:rsidP="004120BF">
      <w:pPr>
        <w:spacing w:after="0"/>
        <w:ind w:firstLine="567"/>
        <w:jc w:val="both"/>
        <w:rPr>
          <w:rFonts w:ascii="Georgia" w:hAnsi="Georgia" w:cs="Times New Roman"/>
          <w:color w:val="222222"/>
          <w:lang w:val="en-US"/>
        </w:rPr>
      </w:pPr>
    </w:p>
    <w:p w14:paraId="21CDB900" w14:textId="14B4D983" w:rsidR="001A43E8" w:rsidRDefault="001A43E8" w:rsidP="00B24C2D">
      <w:pPr>
        <w:spacing w:after="0" w:line="240" w:lineRule="auto"/>
        <w:ind w:firstLine="567"/>
        <w:jc w:val="both"/>
        <w:rPr>
          <w:rFonts w:ascii="Georgia" w:eastAsia="Arial" w:hAnsi="Georgia" w:cs="Times New Roman"/>
          <w:sz w:val="20"/>
          <w:szCs w:val="20"/>
          <w:lang w:val="en-US" w:eastAsia="en-US"/>
        </w:rPr>
      </w:pPr>
    </w:p>
    <w:p w14:paraId="37886FDF" w14:textId="77777777" w:rsidR="0075431F" w:rsidRDefault="0075431F" w:rsidP="00B24C2D">
      <w:pPr>
        <w:spacing w:after="0" w:line="240" w:lineRule="auto"/>
        <w:ind w:firstLine="567"/>
        <w:jc w:val="both"/>
        <w:rPr>
          <w:rFonts w:ascii="Georgia" w:eastAsia="Arial" w:hAnsi="Georgia" w:cs="Times New Roman"/>
          <w:sz w:val="20"/>
          <w:szCs w:val="20"/>
          <w:lang w:val="en-US" w:eastAsia="en-US"/>
        </w:rPr>
      </w:pPr>
    </w:p>
    <w:p w14:paraId="0838996E" w14:textId="77777777" w:rsidR="0075431F" w:rsidRDefault="0075431F" w:rsidP="00B24C2D">
      <w:pPr>
        <w:spacing w:after="0" w:line="240" w:lineRule="auto"/>
        <w:ind w:firstLine="567"/>
        <w:jc w:val="both"/>
        <w:rPr>
          <w:rFonts w:ascii="Georgia" w:eastAsia="Arial" w:hAnsi="Georgia" w:cs="Times New Roman"/>
          <w:sz w:val="20"/>
          <w:szCs w:val="20"/>
          <w:lang w:val="en-US" w:eastAsia="en-US"/>
        </w:rPr>
      </w:pPr>
    </w:p>
    <w:p w14:paraId="7E62B526" w14:textId="09D41EDD" w:rsidR="0075431F" w:rsidRDefault="0075431F" w:rsidP="0075431F">
      <w:pPr>
        <w:spacing w:after="0" w:line="240" w:lineRule="auto"/>
        <w:ind w:firstLine="567"/>
        <w:jc w:val="center"/>
        <w:rPr>
          <w:rFonts w:ascii="Georgia" w:eastAsia="Arial" w:hAnsi="Georgia" w:cs="Times New Roman"/>
          <w:b/>
          <w:sz w:val="20"/>
          <w:szCs w:val="20"/>
          <w:lang w:val="en-US" w:eastAsia="en-US"/>
        </w:rPr>
      </w:pPr>
      <w:proofErr w:type="gramStart"/>
      <w:r w:rsidRPr="0075431F">
        <w:rPr>
          <w:rFonts w:ascii="Georgia" w:eastAsia="Arial" w:hAnsi="Georgia" w:cs="Times New Roman"/>
          <w:b/>
          <w:sz w:val="20"/>
          <w:szCs w:val="20"/>
          <w:lang w:val="en-US" w:eastAsia="en-US"/>
        </w:rPr>
        <w:t>Gambar 1.</w:t>
      </w:r>
      <w:proofErr w:type="gramEnd"/>
      <w:r w:rsidRPr="0075431F">
        <w:rPr>
          <w:rFonts w:ascii="Georgia" w:eastAsia="Arial" w:hAnsi="Georgia" w:cs="Times New Roman"/>
          <w:b/>
          <w:sz w:val="20"/>
          <w:szCs w:val="20"/>
          <w:lang w:val="en-US" w:eastAsia="en-US"/>
        </w:rPr>
        <w:t xml:space="preserve"> Model pembelajaran kooperatif be</w:t>
      </w:r>
      <w:r>
        <w:rPr>
          <w:rFonts w:ascii="Georgia" w:eastAsia="Arial" w:hAnsi="Georgia" w:cs="Times New Roman"/>
          <w:b/>
          <w:sz w:val="20"/>
          <w:szCs w:val="20"/>
          <w:lang w:val="en-US" w:eastAsia="en-US"/>
        </w:rPr>
        <w:t>rpengaruh terhadap pembelajaran</w:t>
      </w:r>
    </w:p>
    <w:p w14:paraId="2F54F0DF" w14:textId="77777777" w:rsidR="0043413B" w:rsidRDefault="0043413B" w:rsidP="0075431F">
      <w:pPr>
        <w:spacing w:after="0" w:line="240" w:lineRule="auto"/>
        <w:ind w:firstLine="567"/>
        <w:jc w:val="center"/>
        <w:rPr>
          <w:rFonts w:ascii="Georgia" w:eastAsia="Arial" w:hAnsi="Georgia" w:cs="Times New Roman"/>
          <w:b/>
          <w:sz w:val="20"/>
          <w:szCs w:val="20"/>
          <w:lang w:val="en-US" w:eastAsia="en-US"/>
        </w:rPr>
      </w:pPr>
    </w:p>
    <w:p w14:paraId="11303830" w14:textId="34449E48" w:rsidR="00821460" w:rsidRDefault="00E50E5A" w:rsidP="00E50E5A">
      <w:pPr>
        <w:spacing w:after="0" w:line="240" w:lineRule="auto"/>
        <w:ind w:firstLine="284"/>
        <w:jc w:val="both"/>
        <w:rPr>
          <w:rFonts w:ascii="Georgia" w:eastAsia="Arial" w:hAnsi="Georgia" w:cs="Times New Roman"/>
          <w:lang w:val="en-US"/>
        </w:rPr>
      </w:pPr>
      <w:r w:rsidRPr="00E50E5A">
        <w:rPr>
          <w:rFonts w:ascii="Georgia" w:eastAsia="Arial" w:hAnsi="Georgia" w:cs="Times New Roman"/>
          <w:lang w:val="en-US"/>
        </w:rPr>
        <w:t xml:space="preserve">Dalam kerangka </w:t>
      </w:r>
      <w:r>
        <w:rPr>
          <w:rFonts w:ascii="Georgia" w:eastAsia="Arial" w:hAnsi="Georgia" w:cs="Times New Roman"/>
          <w:lang w:val="en-US"/>
        </w:rPr>
        <w:t>pendidikan jasmani</w:t>
      </w:r>
      <w:r w:rsidRPr="00E50E5A">
        <w:rPr>
          <w:rFonts w:ascii="Georgia" w:eastAsia="Arial" w:hAnsi="Georgia" w:cs="Times New Roman"/>
          <w:lang w:val="en-US"/>
        </w:rPr>
        <w:t xml:space="preserve"> di Indonesia, </w:t>
      </w:r>
      <w:r>
        <w:rPr>
          <w:rFonts w:ascii="Georgia" w:eastAsia="Arial" w:hAnsi="Georgia" w:cs="Times New Roman"/>
          <w:lang w:val="en-US"/>
        </w:rPr>
        <w:t>hasil belajar</w:t>
      </w:r>
      <w:r w:rsidRPr="00E50E5A">
        <w:rPr>
          <w:rFonts w:ascii="Georgia" w:eastAsia="Arial" w:hAnsi="Georgia" w:cs="Times New Roman"/>
          <w:lang w:val="en-US"/>
        </w:rPr>
        <w:t xml:space="preserve"> kognitif masih menjadi fokus </w:t>
      </w:r>
      <w:r>
        <w:rPr>
          <w:rFonts w:ascii="Georgia" w:eastAsia="Arial" w:hAnsi="Georgia" w:cs="Times New Roman"/>
          <w:lang w:val="en-US"/>
        </w:rPr>
        <w:t>perhatian</w:t>
      </w:r>
      <w:r w:rsidRPr="00E50E5A">
        <w:rPr>
          <w:rFonts w:ascii="Georgia" w:eastAsia="Arial" w:hAnsi="Georgia" w:cs="Times New Roman"/>
          <w:lang w:val="en-US"/>
        </w:rPr>
        <w:t xml:space="preserve"> bagi guru, serta sasaran utama siswa</w:t>
      </w:r>
      <w:r w:rsidR="00A23AD4">
        <w:rPr>
          <w:rFonts w:ascii="Georgia" w:eastAsia="Arial" w:hAnsi="Georgia" w:cs="Times New Roman"/>
          <w:lang w:val="en-US"/>
        </w:rPr>
        <w:t xml:space="preserve"> </w:t>
      </w:r>
      <w:r w:rsidR="00A23AD4">
        <w:rPr>
          <w:rFonts w:ascii="Georgia" w:eastAsia="Arial" w:hAnsi="Georgia" w:cs="Times New Roman"/>
          <w:lang w:val="en-US"/>
        </w:rPr>
        <w:fldChar w:fldCharType="begin" w:fldLock="1"/>
      </w:r>
      <w:r w:rsidR="000B558A">
        <w:rPr>
          <w:rFonts w:ascii="Georgia" w:eastAsia="Arial" w:hAnsi="Georgia" w:cs="Times New Roman"/>
          <w:lang w:val="en-US"/>
        </w:rPr>
        <w:instrText>ADDIN CSL_CITATION {"citationItems":[{"id":"ITEM-1","itemData":{"DOI":"10.1186/s12889-021-11931-1","ISSN":"14712458","PMID":"34654384","abstract":"Background: Socio-behavioural adaptations during the COVID-19 pandemic may have significantly affected adolescents’ lifestyle. This study aimed to explore possible reasons affecting changes in physical activity and sedentary behaviour in Indonesian adolescents during the pandemic based on mothers’ perspectives. Methods: We recruited parents (n = 20) from the Yogyakarta region of Indonesia (July–August 2020) using purposive and snowball sampling. Individual interviews were audio-recorded, transcribed verbatim and anonymised. Data were imported into NVivo software for a reflexive thematic analysis. Results: The interviews lasted between 38 and 113 min (M = 65 min). Participants’ age ranged between 36 and 54 years (M = 42.6 years). Participants’ children ranged in age from 12 to 15 years (M = 13.7 years, female: 9, male: 11). Themes related to changes in physical activity during the pandemic were 1) self-determination and enjoyment, 2) supports from others, and 3) physical activity facilities and equipment. Themes related to changes in sedentary behaviour during the pandemic included 1) educational demands, 2) psychological effects due to the pandemic, 3) devices and internet availability, 4) parental control, and 5) social facilitators. Conclusions: During the pandemic, mothers perceived their children to be less active and using more screen-based devices, either for educational or recreational purposes, compared to before. The present themes might be useful when developing interventions and policies promoting physical activity and reducing sedentary behaviour in adolescents. Interventions could, for example, consider increasing parents’ and adolescents’ awareness on current activity guidelines, providing education on healthier recreational screen time, and involving parents, peers, and teachers. Increasing the accessibility of physical activity facilities and equipment, making use of adolescents’ favourite program and social media for interventions, and providing activities that are fun and enjoyable may also important.","author":[{"dropping-particle":"","family":"Andriyani","given":"Fitria Dwi","non-dropping-particle":"","parse-names":false,"suffix":""},{"dropping-particle":"","family":"Biddle","given":"Stuart J.H.","non-dropping-particle":"","parse-names":false,"suffix":""},{"dropping-particle":"","family":"Cocker","given":"Katrien","non-dropping-particle":"De","parse-names":false,"suffix":""}],"container-title":"BMC Public Health","id":"ITEM-1","issue":"1","issued":{"date-parts":[["2021"]]},"page":"1-14","publisher":"BMC Public Health","title":"Adolescents’ physical activity and sedentary behaviour in Indonesia during the COVID-19 pandemic: a qualitative study of mothers’ perspectives","type":"article-journal","volume":"21"},"uris":["http://www.mendeley.com/documents/?uuid=28062b70-5471-4953-87bb-6443251bea0e"]}],"mendeley":{"formattedCitation":"(Andriyani et al., 2021)","plainTextFormattedCitation":"(Andriyani et al., 2021)","previouslyFormattedCitation":"(Andriyani et al., 2021)"},"properties":{"noteIndex":0},"schema":"https://github.com/citation-style-language/schema/raw/master/csl-citation.json"}</w:instrText>
      </w:r>
      <w:r w:rsidR="00A23AD4">
        <w:rPr>
          <w:rFonts w:ascii="Georgia" w:eastAsia="Arial" w:hAnsi="Georgia" w:cs="Times New Roman"/>
          <w:lang w:val="en-US"/>
        </w:rPr>
        <w:fldChar w:fldCharType="separate"/>
      </w:r>
      <w:r w:rsidR="00A23AD4" w:rsidRPr="00A23AD4">
        <w:rPr>
          <w:rFonts w:ascii="Georgia" w:eastAsia="Arial" w:hAnsi="Georgia" w:cs="Times New Roman"/>
          <w:noProof/>
          <w:lang w:val="en-US"/>
        </w:rPr>
        <w:t>(Andriyani et al., 2021)</w:t>
      </w:r>
      <w:r w:rsidR="00A23AD4">
        <w:rPr>
          <w:rFonts w:ascii="Georgia" w:eastAsia="Arial" w:hAnsi="Georgia" w:cs="Times New Roman"/>
          <w:lang w:val="en-US"/>
        </w:rPr>
        <w:fldChar w:fldCharType="end"/>
      </w:r>
      <w:r w:rsidRPr="00E50E5A">
        <w:rPr>
          <w:rFonts w:ascii="Georgia" w:eastAsia="Arial" w:hAnsi="Georgia" w:cs="Times New Roman"/>
          <w:lang w:val="en-US"/>
        </w:rPr>
        <w:t xml:space="preserve">. </w:t>
      </w:r>
      <w:r w:rsidR="00516CED">
        <w:rPr>
          <w:rFonts w:ascii="Georgia" w:eastAsia="Arial" w:hAnsi="Georgia" w:cs="Times New Roman"/>
          <w:lang w:val="en-US"/>
        </w:rPr>
        <w:t>Hasil belajar</w:t>
      </w:r>
      <w:r w:rsidRPr="00E50E5A">
        <w:rPr>
          <w:rFonts w:ascii="Georgia" w:eastAsia="Arial" w:hAnsi="Georgia" w:cs="Times New Roman"/>
          <w:lang w:val="en-US"/>
        </w:rPr>
        <w:t xml:space="preserve"> ko</w:t>
      </w:r>
      <w:r>
        <w:rPr>
          <w:rFonts w:ascii="Georgia" w:eastAsia="Arial" w:hAnsi="Georgia" w:cs="Times New Roman"/>
          <w:lang w:val="en-US"/>
        </w:rPr>
        <w:t xml:space="preserve">gnitif adalah representasi dari </w:t>
      </w:r>
      <w:r w:rsidRPr="00E50E5A">
        <w:rPr>
          <w:rFonts w:ascii="Georgia" w:eastAsia="Arial" w:hAnsi="Georgia" w:cs="Times New Roman"/>
          <w:lang w:val="en-US"/>
        </w:rPr>
        <w:t>kecerdasan intelektual siswa</w:t>
      </w:r>
      <w:r w:rsidR="00855965">
        <w:rPr>
          <w:rFonts w:ascii="Georgia" w:eastAsia="Arial" w:hAnsi="Georgia" w:cs="Times New Roman"/>
          <w:lang w:val="en-US"/>
        </w:rPr>
        <w:t xml:space="preserve"> </w:t>
      </w:r>
      <w:r w:rsidR="00855965">
        <w:rPr>
          <w:rFonts w:ascii="Georgia" w:eastAsia="Arial" w:hAnsi="Georgia" w:cs="Times New Roman"/>
          <w:lang w:val="en-US"/>
        </w:rPr>
        <w:fldChar w:fldCharType="begin" w:fldLock="1"/>
      </w:r>
      <w:r w:rsidR="005F6D5B">
        <w:rPr>
          <w:rFonts w:ascii="Georgia" w:eastAsia="Arial" w:hAnsi="Georgia" w:cs="Times New Roman"/>
          <w:lang w:val="en-US"/>
        </w:rPr>
        <w:instrText>ADDIN CSL_CITATION {"citationItems":[{"id":"ITEM-1","itemData":{"DOI":"10.1086/676460","ISSN":"1932-8575","abstract":"We study an education intervention targetingunderachieving pupils’ noncognitive skills with the aim of improving attendance and cognitive outcomes. We evaluate the policy effect on test scores in national exams at age 16 exploiting repeated observations to control for unobservables. We find little evidence of improved cognitive outcomes. We further examine the policy impact on students’ absences. Lacking repeated observations on this outcome, we simulate the effect of unob- servables on attendance. While the intervention had beneficial effects on school presence, these did not translate to improved cognitive outcomes. Conversely, the policy generated positive spillover effects on nontreated students’ test scores.","author":[{"dropping-particle":"","family":"Holmlund","given":"Helena","non-dropping-particle":"","parse-names":false,"suffix":""},{"dropping-particle":"","family":"Silva","given":"Olmo","non-dropping-particle":"","parse-names":false,"suffix":""}],"container-title":"Journal of Human Capital","id":"ITEM-1","issue":"2","issued":{"date-parts":[["2014"]]},"page":"126-160","title":"Targeting Noncognitive Skills to Improve Cognitive Outcomes: Evidence from a Remedial Education Intervention","type":"article-journal","volume":"8"},"uris":["http://www.mendeley.com/documents/?uuid=7ca9dc1e-c0d9-4875-9eb5-35339f8ed1a5"]}],"mendeley":{"formattedCitation":"(Holmlund &amp; Silva, 2014)","plainTextFormattedCitation":"(Holmlund &amp; Silva, 2014)","previouslyFormattedCitation":"(Holmlund &amp; Silva, 2014)"},"properties":{"noteIndex":0},"schema":"https://github.com/citation-style-language/schema/raw/master/csl-citation.json"}</w:instrText>
      </w:r>
      <w:r w:rsidR="00855965">
        <w:rPr>
          <w:rFonts w:ascii="Georgia" w:eastAsia="Arial" w:hAnsi="Georgia" w:cs="Times New Roman"/>
          <w:lang w:val="en-US"/>
        </w:rPr>
        <w:fldChar w:fldCharType="separate"/>
      </w:r>
      <w:r w:rsidR="00855965" w:rsidRPr="00855965">
        <w:rPr>
          <w:rFonts w:ascii="Georgia" w:eastAsia="Arial" w:hAnsi="Georgia" w:cs="Times New Roman"/>
          <w:noProof/>
          <w:lang w:val="en-US"/>
        </w:rPr>
        <w:t>(Holmlund &amp; Silva, 2014)</w:t>
      </w:r>
      <w:r w:rsidR="00855965">
        <w:rPr>
          <w:rFonts w:ascii="Georgia" w:eastAsia="Arial" w:hAnsi="Georgia" w:cs="Times New Roman"/>
          <w:lang w:val="en-US"/>
        </w:rPr>
        <w:fldChar w:fldCharType="end"/>
      </w:r>
      <w:r w:rsidRPr="00E50E5A">
        <w:rPr>
          <w:rFonts w:ascii="Georgia" w:eastAsia="Arial" w:hAnsi="Georgia" w:cs="Times New Roman"/>
          <w:lang w:val="en-US"/>
        </w:rPr>
        <w:t xml:space="preserve">. Beberapa kebijakan </w:t>
      </w:r>
      <w:r w:rsidR="00516CED">
        <w:rPr>
          <w:rFonts w:ascii="Georgia" w:eastAsia="Arial" w:hAnsi="Georgia" w:cs="Times New Roman"/>
          <w:lang w:val="en-US"/>
        </w:rPr>
        <w:t>pemerintah</w:t>
      </w:r>
      <w:r w:rsidRPr="00E50E5A">
        <w:rPr>
          <w:rFonts w:ascii="Georgia" w:eastAsia="Arial" w:hAnsi="Georgia" w:cs="Times New Roman"/>
          <w:lang w:val="en-US"/>
        </w:rPr>
        <w:t xml:space="preserve"> </w:t>
      </w:r>
      <w:r w:rsidR="00516CED">
        <w:rPr>
          <w:rFonts w:ascii="Georgia" w:eastAsia="Arial" w:hAnsi="Georgia" w:cs="Times New Roman"/>
          <w:lang w:val="en-US"/>
        </w:rPr>
        <w:t xml:space="preserve">dari waktu ke waktu </w:t>
      </w:r>
      <w:r w:rsidRPr="00E50E5A">
        <w:rPr>
          <w:rFonts w:ascii="Georgia" w:eastAsia="Arial" w:hAnsi="Georgia" w:cs="Times New Roman"/>
          <w:lang w:val="en-US"/>
        </w:rPr>
        <w:t xml:space="preserve">dilakukan untuk </w:t>
      </w:r>
      <w:r>
        <w:rPr>
          <w:rFonts w:ascii="Georgia" w:eastAsia="Arial" w:hAnsi="Georgia" w:cs="Times New Roman"/>
          <w:lang w:val="en-US"/>
        </w:rPr>
        <w:t xml:space="preserve">meningkatkan pembelajaran siswa </w:t>
      </w:r>
      <w:r w:rsidR="00516CED">
        <w:rPr>
          <w:rFonts w:ascii="Georgia" w:eastAsia="Arial" w:hAnsi="Georgia" w:cs="Times New Roman"/>
          <w:lang w:val="en-US"/>
        </w:rPr>
        <w:t>agar mendapatkan hasil yang diharapkan</w:t>
      </w:r>
      <w:r w:rsidR="000B558A">
        <w:rPr>
          <w:rFonts w:ascii="Georgia" w:eastAsia="Arial" w:hAnsi="Georgia" w:cs="Times New Roman"/>
          <w:lang w:val="en-US"/>
        </w:rPr>
        <w:t xml:space="preserve"> </w:t>
      </w:r>
      <w:r w:rsidR="000B558A">
        <w:rPr>
          <w:rFonts w:ascii="Georgia" w:eastAsia="Arial" w:hAnsi="Georgia" w:cs="Times New Roman"/>
          <w:lang w:val="en-US"/>
        </w:rPr>
        <w:fldChar w:fldCharType="begin" w:fldLock="1"/>
      </w:r>
      <w:r w:rsidR="000B558A">
        <w:rPr>
          <w:rFonts w:ascii="Georgia" w:eastAsia="Arial" w:hAnsi="Georgia" w:cs="Times New Roman"/>
          <w:lang w:val="en-US"/>
        </w:rPr>
        <w:instrText>ADDIN CSL_CITATION {"citationItems":[{"id":"ITEM-1","itemData":{"DOI":"10.1007/s40822-018-0101-9","ISBN":"4082201801019","ISSN":"2147429X","abstract":"This paper aims at investigating the effect of local government policy on the decision of secondary school enrollment in Indonesia. It combines various datasets such as Indonesia Family Life Survey based on the household and community survey, village survey (PODES), and district data level for statistical analysis. By using a probit model, this study finds that the local government policy on education, such as pupil-to-class room ratio and education expenditure per population in secondary school age, is found to have significant impact on the parents’ decision to enroll their children in the school. Further estimation on the interaction of local government policy with female child shows that only the number of public secondary school per population variable has low impact on secondary school enrollment decision.","author":[{"dropping-particle":"","family":"Prasetyia","given":"Ferry","non-dropping-particle":"","parse-names":false,"suffix":""}],"container-title":"Eurasian Economic Review","id":"ITEM-1","issue":"2","issued":{"date-parts":[["2019"]]},"number-of-pages":"139-172","publisher":"Springer International Publishing","title":"The role of local government policy on secondary school enrolment decision in Indonesia","type":"book","volume":"9"},"uris":["http://www.mendeley.com/documents/?uuid=9177d392-2c4e-4713-85e4-5863aa96af71"]}],"mendeley":{"formattedCitation":"(Prasetyia, 2019)","manualFormatting":"(Prasetyia, 2019","plainTextFormattedCitation":"(Prasetyia, 2019)","previouslyFormattedCitation":"(Prasetyia, 2019)"},"properties":{"noteIndex":0},"schema":"https://github.com/citation-style-language/schema/raw/master/csl-citation.json"}</w:instrText>
      </w:r>
      <w:r w:rsidR="000B558A">
        <w:rPr>
          <w:rFonts w:ascii="Georgia" w:eastAsia="Arial" w:hAnsi="Georgia" w:cs="Times New Roman"/>
          <w:lang w:val="en-US"/>
        </w:rPr>
        <w:fldChar w:fldCharType="separate"/>
      </w:r>
      <w:r w:rsidR="000B558A" w:rsidRPr="000B558A">
        <w:rPr>
          <w:rFonts w:ascii="Georgia" w:eastAsia="Arial" w:hAnsi="Georgia" w:cs="Times New Roman"/>
          <w:noProof/>
          <w:lang w:val="en-US"/>
        </w:rPr>
        <w:t>(Prasetyia, 2019</w:t>
      </w:r>
      <w:r w:rsidR="000B558A">
        <w:rPr>
          <w:rFonts w:ascii="Georgia" w:eastAsia="Arial" w:hAnsi="Georgia" w:cs="Times New Roman"/>
          <w:lang w:val="en-US"/>
        </w:rPr>
        <w:fldChar w:fldCharType="end"/>
      </w:r>
      <w:r w:rsidR="000B558A">
        <w:rPr>
          <w:rFonts w:ascii="Georgia" w:eastAsia="Arial" w:hAnsi="Georgia" w:cs="Times New Roman"/>
          <w:lang w:val="en-US"/>
        </w:rPr>
        <w:t xml:space="preserve">; </w:t>
      </w:r>
      <w:r w:rsidR="000B558A">
        <w:rPr>
          <w:rFonts w:ascii="Georgia" w:eastAsia="Arial" w:hAnsi="Georgia" w:cs="Times New Roman"/>
          <w:lang w:val="en-US"/>
        </w:rPr>
        <w:fldChar w:fldCharType="begin" w:fldLock="1"/>
      </w:r>
      <w:r w:rsidR="00CC0A6F">
        <w:rPr>
          <w:rFonts w:ascii="Georgia" w:eastAsia="Arial" w:hAnsi="Georgia" w:cs="Times New Roman"/>
          <w:lang w:val="en-US"/>
        </w:rPr>
        <w:instrText>ADDIN CSL_CITATION {"citationItems":[{"id":"ITEM-1","itemData":{"DOI":"10.1016/j.ijer.2020.101693","ISSN":"08830355","abstract":"Having achieved near universal primary education by the late 1980s, Indonesia turned its attention to increasing secondary school enrolments. In this context, we examine the causal impact of Indonesia's 1994 compulsory junior secondary schooling initiative. We apply regression discontinuity methods to a sample of about 20,000 individuals. We investigate both intent-to-treat and treatment-on-the-treated effects. We subject our empirical examination to an exhaustive battery of robustness tests. We find no evidence that the compulsory schooling program increased educational attainment. The apparent lack of impact is a unique result across studies that have examined such reforms. We discuss some limitations in government implementation that may underlie program ineffectiveness and acknowledge possible shortcomings in our analysis that may drive the estimated null effects.","author":[{"dropping-particle":"","family":"Lewis","given":"Blane D.","non-dropping-particle":"","parse-names":false,"suffix":""},{"dropping-particle":"","family":"Nguyen","given":"Hieu T.M.","non-dropping-particle":"","parse-names":false,"suffix":""}],"container-title":"International Journal of Educational Research","id":"ITEM-1","issue":"October","issued":{"date-parts":[["2020"]]},"page":"101693","publisher":"Elsevier Ltd","title":"Assessing the causal impact of compulsory schooling policy in Indonesia","type":"article-journal","volume":"104"},"uris":["http://www.mendeley.com/documents/?uuid=0043b822-68f0-452e-bbc9-4633e775c353"]}],"mendeley":{"formattedCitation":"(Lewis &amp; Nguyen, 2020)","manualFormatting":"Lewis &amp; Nguyen, 2020)","plainTextFormattedCitation":"(Lewis &amp; Nguyen, 2020)","previouslyFormattedCitation":"(Lewis &amp; Nguyen, 2020)"},"properties":{"noteIndex":0},"schema":"https://github.com/citation-style-language/schema/raw/master/csl-citation.json"}</w:instrText>
      </w:r>
      <w:r w:rsidR="000B558A">
        <w:rPr>
          <w:rFonts w:ascii="Georgia" w:eastAsia="Arial" w:hAnsi="Georgia" w:cs="Times New Roman"/>
          <w:lang w:val="en-US"/>
        </w:rPr>
        <w:fldChar w:fldCharType="separate"/>
      </w:r>
      <w:r w:rsidR="000B558A" w:rsidRPr="000B558A">
        <w:rPr>
          <w:rFonts w:ascii="Georgia" w:eastAsia="Arial" w:hAnsi="Georgia" w:cs="Times New Roman"/>
          <w:noProof/>
          <w:lang w:val="en-US"/>
        </w:rPr>
        <w:t>Lewis &amp; Nguyen, 2020)</w:t>
      </w:r>
      <w:r w:rsidR="000B558A">
        <w:rPr>
          <w:rFonts w:ascii="Georgia" w:eastAsia="Arial" w:hAnsi="Georgia" w:cs="Times New Roman"/>
          <w:lang w:val="en-US"/>
        </w:rPr>
        <w:fldChar w:fldCharType="end"/>
      </w:r>
      <w:r w:rsidRPr="00E50E5A">
        <w:rPr>
          <w:rFonts w:ascii="Georgia" w:eastAsia="Arial" w:hAnsi="Georgia" w:cs="Times New Roman"/>
          <w:lang w:val="en-US"/>
        </w:rPr>
        <w:t xml:space="preserve">. Oleh karena itu, </w:t>
      </w:r>
      <w:r w:rsidR="00516CED">
        <w:rPr>
          <w:rFonts w:ascii="Georgia" w:eastAsia="Arial" w:hAnsi="Georgia" w:cs="Times New Roman"/>
          <w:lang w:val="en-US"/>
        </w:rPr>
        <w:t xml:space="preserve">dalam skema </w:t>
      </w:r>
      <w:r w:rsidRPr="00E50E5A">
        <w:rPr>
          <w:rFonts w:ascii="Georgia" w:eastAsia="Arial" w:hAnsi="Georgia" w:cs="Times New Roman"/>
          <w:lang w:val="en-US"/>
        </w:rPr>
        <w:t>pembelajaran, praktik</w:t>
      </w:r>
      <w:r>
        <w:rPr>
          <w:rFonts w:ascii="Georgia" w:eastAsia="Arial" w:hAnsi="Georgia" w:cs="Times New Roman"/>
          <w:lang w:val="en-US"/>
        </w:rPr>
        <w:t xml:space="preserve">, dan evaluasi harus melibatkan </w:t>
      </w:r>
      <w:r w:rsidRPr="00E50E5A">
        <w:rPr>
          <w:rFonts w:ascii="Georgia" w:eastAsia="Arial" w:hAnsi="Georgia" w:cs="Times New Roman"/>
          <w:lang w:val="en-US"/>
        </w:rPr>
        <w:t xml:space="preserve">aspek kognitif secara </w:t>
      </w:r>
      <w:r w:rsidR="0042021D">
        <w:rPr>
          <w:rFonts w:ascii="Georgia" w:eastAsia="Arial" w:hAnsi="Georgia" w:cs="Times New Roman"/>
          <w:lang w:val="en-US"/>
        </w:rPr>
        <w:t>berkesinambungan</w:t>
      </w:r>
      <w:r w:rsidR="00CC0A6F">
        <w:rPr>
          <w:rFonts w:ascii="Georgia" w:eastAsia="Arial" w:hAnsi="Georgia" w:cs="Times New Roman"/>
          <w:lang w:val="en-US"/>
        </w:rPr>
        <w:t xml:space="preserve"> </w:t>
      </w:r>
      <w:r w:rsidR="00CC0A6F">
        <w:rPr>
          <w:rFonts w:ascii="Georgia" w:eastAsia="Arial" w:hAnsi="Georgia" w:cs="Times New Roman"/>
          <w:lang w:val="en-US"/>
        </w:rPr>
        <w:fldChar w:fldCharType="begin" w:fldLock="1"/>
      </w:r>
      <w:r w:rsidR="00E3039E">
        <w:rPr>
          <w:rFonts w:ascii="Georgia" w:eastAsia="Arial" w:hAnsi="Georgia" w:cs="Times New Roman"/>
          <w:lang w:val="en-US"/>
        </w:rPr>
        <w:instrText>ADDIN CSL_CITATION {"citationItems":[{"id":"ITEM-1","itemData":{"DOI":"10.1080/03057925.2018.1425132","ISSN":"14693623","abstract":"The purpose of this paper is to explore the relationship between fair access policies and discourses of development through a policy analysis of higher education reform in post-authoritarian Indonesia (1998–present). The method was document analysis of five laws/regulations, using the criteria of accessibility, availability, and horizontality to identify the extent of fair access for students from (1) lower socioeconomic backgrounds and (2) under-developed regions of the archipelago. The analysis demonstrates how neoliberal, human capital, inclusive development and Pancasila discourses have been called upon in the making and un-making of a higher education market, with ultimately favourable outcomes for the fair access agenda.","author":[{"dropping-particle":"","family":"Brewis","given":"Elisa","non-dropping-particle":"","parse-names":false,"suffix":""}],"container-title":"Compare","id":"ITEM-1","issue":"3","issued":{"date-parts":[["2019"]]},"page":"453-470","publisher":"Routledge","title":"Fair access to higher education and discourses of development: a policy analysis from Indonesia","type":"article-journal","volume":"49"},"uris":["http://www.mendeley.com/documents/?uuid=e8608dfa-22cc-4ebc-957b-246fc8ed2085"]}],"mendeley":{"formattedCitation":"(Brewis, 2019)","plainTextFormattedCitation":"(Brewis, 2019)","previouslyFormattedCitation":"(Brewis, 2019)"},"properties":{"noteIndex":0},"schema":"https://github.com/citation-style-language/schema/raw/master/csl-citation.json"}</w:instrText>
      </w:r>
      <w:r w:rsidR="00CC0A6F">
        <w:rPr>
          <w:rFonts w:ascii="Georgia" w:eastAsia="Arial" w:hAnsi="Georgia" w:cs="Times New Roman"/>
          <w:lang w:val="en-US"/>
        </w:rPr>
        <w:fldChar w:fldCharType="separate"/>
      </w:r>
      <w:r w:rsidR="00CC0A6F" w:rsidRPr="00CC0A6F">
        <w:rPr>
          <w:rFonts w:ascii="Georgia" w:eastAsia="Arial" w:hAnsi="Georgia" w:cs="Times New Roman"/>
          <w:noProof/>
          <w:lang w:val="en-US"/>
        </w:rPr>
        <w:t>(Brewis, 2019)</w:t>
      </w:r>
      <w:r w:rsidR="00CC0A6F">
        <w:rPr>
          <w:rFonts w:ascii="Georgia" w:eastAsia="Arial" w:hAnsi="Georgia" w:cs="Times New Roman"/>
          <w:lang w:val="en-US"/>
        </w:rPr>
        <w:fldChar w:fldCharType="end"/>
      </w:r>
      <w:r w:rsidRPr="00E50E5A">
        <w:rPr>
          <w:rFonts w:ascii="Georgia" w:eastAsia="Arial" w:hAnsi="Georgia" w:cs="Times New Roman"/>
          <w:lang w:val="en-US"/>
        </w:rPr>
        <w:t>. Padahal, pola pembelajaran di</w:t>
      </w:r>
      <w:r>
        <w:rPr>
          <w:rFonts w:ascii="Georgia" w:eastAsia="Arial" w:hAnsi="Georgia" w:cs="Times New Roman"/>
          <w:lang w:val="en-US"/>
        </w:rPr>
        <w:t xml:space="preserve"> Ambon-Indonesia, khususnya </w:t>
      </w:r>
      <w:r w:rsidR="0042021D">
        <w:rPr>
          <w:rFonts w:ascii="Georgia" w:eastAsia="Arial" w:hAnsi="Georgia" w:cs="Times New Roman"/>
          <w:lang w:val="en-US"/>
        </w:rPr>
        <w:t xml:space="preserve">pendidikan jasmani </w:t>
      </w:r>
      <w:r w:rsidRPr="00E50E5A">
        <w:rPr>
          <w:rFonts w:ascii="Georgia" w:eastAsia="Arial" w:hAnsi="Georgia" w:cs="Times New Roman"/>
          <w:lang w:val="en-US"/>
        </w:rPr>
        <w:t>subjek cenderung fokus pada kognitif rendah</w:t>
      </w:r>
      <w:r w:rsidR="00E3039E">
        <w:rPr>
          <w:rFonts w:ascii="Georgia" w:eastAsia="Arial" w:hAnsi="Georgia" w:cs="Times New Roman"/>
          <w:lang w:val="en-US"/>
        </w:rPr>
        <w:t xml:space="preserve"> </w:t>
      </w:r>
      <w:r w:rsidR="00E3039E">
        <w:rPr>
          <w:rFonts w:ascii="Georgia" w:eastAsia="Arial" w:hAnsi="Georgia" w:cs="Times New Roman"/>
          <w:lang w:val="en-US"/>
        </w:rPr>
        <w:fldChar w:fldCharType="begin" w:fldLock="1"/>
      </w:r>
      <w:r w:rsidR="00E3039E">
        <w:rPr>
          <w:rFonts w:ascii="Georgia" w:eastAsia="Arial" w:hAnsi="Georgia" w:cs="Times New Roman"/>
          <w:lang w:val="en-US"/>
        </w:rPr>
        <w:instrText>ADDIN CSL_CITATION {"citationItems":[{"id":"ITEM-1","itemData":{"DOI":"10.25299/sportarea.2021.vol6(3).6836","ISSN":"2527-760X","abstract":"The correlation between emotional intelligence and learning outcomes of elementary school students in physical education is still minimal. Therefore, a deeper exploration in this study is carried out to reveal it. This study aims to analyze the correlation between emotional intelligence and students' physical education learning outcomes in elementary schools. This correlational study aims to analyze the relationship between emotional intelligence and elementary school students' learning outcomes in physical education. The ANOVA correlation between emotional intelligence and physical education learning outcomes shows a significance value of 0.224, greater than alpha 0.05. It means that there is no correlation between emotional intelligence and students’ cognitive learning outcomes in physical education subjects. Factors that contribute to the absence of a relationship between emotional intelligence and learning outcomes include implementing online learning that is less than optimal because it is not supported by adequate facilities and learning participation by all students. The other factors are reduced or limited interaction between students and the learning environment, the economic burden that causes parents’ emotional problem that impacts children's emotions. The contribution of emotional intelligence to the achievement of learning outcomes, especially in physical education subjects, is as much as 2%, and other factors contribute as much as 98%.","author":[{"dropping-particle":"","family":"Fenanlampir","given":"Albertus","non-dropping-particle":"","parse-names":false,"suffix":""},{"dropping-particle":"","family":"Mutohir","given":"Toho Cholik","non-dropping-particle":"","parse-names":false,"suffix":""}],"container-title":"Journal Sport Area","id":"ITEM-1","issue":"3","issued":{"date-parts":[["2021"]]},"page":"304-314","title":"Emotional intelligence and learning outcomes: Study in physical education","type":"article-journal","volume":"6"},"uris":["http://www.mendeley.com/documents/?uuid=0e04018b-dd26-493a-9f8f-419906bb52a4"]}],"mendeley":{"formattedCitation":"(Fenanlampir &amp; Mutohir, 2021)","plainTextFormattedCitation":"(Fenanlampir &amp; Mutohir, 2021)","previouslyFormattedCitation":"(Fenanlampir &amp; Mutohir, 2021)"},"properties":{"noteIndex":0},"schema":"https://github.com/citation-style-language/schema/raw/master/csl-citation.json"}</w:instrText>
      </w:r>
      <w:r w:rsidR="00E3039E">
        <w:rPr>
          <w:rFonts w:ascii="Georgia" w:eastAsia="Arial" w:hAnsi="Georgia" w:cs="Times New Roman"/>
          <w:lang w:val="en-US"/>
        </w:rPr>
        <w:fldChar w:fldCharType="separate"/>
      </w:r>
      <w:r w:rsidR="00E3039E" w:rsidRPr="00E3039E">
        <w:rPr>
          <w:rFonts w:ascii="Georgia" w:eastAsia="Arial" w:hAnsi="Georgia" w:cs="Times New Roman"/>
          <w:noProof/>
          <w:lang w:val="en-US"/>
        </w:rPr>
        <w:t>(Fenanlampir &amp; Mutohir, 2021)</w:t>
      </w:r>
      <w:r w:rsidR="00E3039E">
        <w:rPr>
          <w:rFonts w:ascii="Georgia" w:eastAsia="Arial" w:hAnsi="Georgia" w:cs="Times New Roman"/>
          <w:lang w:val="en-US"/>
        </w:rPr>
        <w:fldChar w:fldCharType="end"/>
      </w:r>
      <w:r w:rsidRPr="00E50E5A">
        <w:rPr>
          <w:rFonts w:ascii="Georgia" w:eastAsia="Arial" w:hAnsi="Georgia" w:cs="Times New Roman"/>
          <w:lang w:val="en-US"/>
        </w:rPr>
        <w:t>. Itu karena banyak guru ya</w:t>
      </w:r>
      <w:r w:rsidR="0042021D">
        <w:rPr>
          <w:rFonts w:ascii="Georgia" w:eastAsia="Arial" w:hAnsi="Georgia" w:cs="Times New Roman"/>
          <w:lang w:val="en-US"/>
        </w:rPr>
        <w:t xml:space="preserve">ng menganggap sekolah </w:t>
      </w:r>
      <w:r w:rsidRPr="00E50E5A">
        <w:rPr>
          <w:rFonts w:ascii="Georgia" w:eastAsia="Arial" w:hAnsi="Georgia" w:cs="Times New Roman"/>
          <w:lang w:val="en-US"/>
        </w:rPr>
        <w:t xml:space="preserve">siswa </w:t>
      </w:r>
      <w:r w:rsidR="0042021D">
        <w:rPr>
          <w:rFonts w:ascii="Georgia" w:eastAsia="Arial" w:hAnsi="Georgia" w:cs="Times New Roman"/>
          <w:lang w:val="en-US"/>
        </w:rPr>
        <w:t xml:space="preserve">belum mampu untuk berpikir tingkat </w:t>
      </w:r>
      <w:r w:rsidRPr="00E50E5A">
        <w:rPr>
          <w:rFonts w:ascii="Georgia" w:eastAsia="Arial" w:hAnsi="Georgia" w:cs="Times New Roman"/>
          <w:lang w:val="en-US"/>
        </w:rPr>
        <w:t>tinggi</w:t>
      </w:r>
      <w:r w:rsidR="00E3039E">
        <w:rPr>
          <w:rFonts w:ascii="Georgia" w:eastAsia="Arial" w:hAnsi="Georgia" w:cs="Times New Roman"/>
          <w:lang w:val="en-US"/>
        </w:rPr>
        <w:t xml:space="preserve"> </w:t>
      </w:r>
      <w:r w:rsidR="00E3039E">
        <w:rPr>
          <w:rFonts w:ascii="Georgia" w:eastAsia="Arial" w:hAnsi="Georgia" w:cs="Times New Roman"/>
          <w:lang w:val="en-US"/>
        </w:rPr>
        <w:fldChar w:fldCharType="begin" w:fldLock="1"/>
      </w:r>
      <w:r w:rsidR="00E74AEE">
        <w:rPr>
          <w:rFonts w:ascii="Georgia" w:eastAsia="Arial" w:hAnsi="Georgia" w:cs="Times New Roman"/>
          <w:lang w:val="en-US"/>
        </w:rPr>
        <w:instrText>ADDIN CSL_CITATION {"citationItems":[{"id":"ITEM-1","itemData":{"author":[{"dropping-particle":"","family":"Leasa","given":"Marleny","non-dropping-particle":"","parse-names":false,"suffix":""},{"dropping-particle":"","family":"Fenanlampir","given":"Albertus","non-dropping-particle":"","parse-names":false,"suffix":""},{"dropping-particle":"","family":"Batlolona","given":"John Rafafy","non-dropping-particle":"","parse-names":false,"suffix":""},{"dropping-particle":"","family":"Saimima","given":"Abdul Salam","non-dropping-particle":"","parse-names":false,"suffix":""}],"id":"ITEM-1","issue":"2","issued":{"date-parts":[["2021"]]},"page":"154-166","title":"Biosfer : Jurnal Pendidikan Biologi Problem-solving and creative thinking skills with the PBL model : The concept of the human circulatory system","type":"article-journal","volume":"14"},"uris":["http://www.mendeley.com/documents/?uuid=7ec35ff4-0732-4d66-8dc4-a6aa0b1b086d"]}],"mendeley":{"formattedCitation":"(Leasa, Fenanlampir, et al., 2021)","plainTextFormattedCitation":"(Leasa, Fenanlampir, et al., 2021)","previouslyFormattedCitation":"(Leasa, Fenanlampir, et al., 2021)"},"properties":{"noteIndex":0},"schema":"https://github.com/citation-style-language/schema/raw/master/csl-citation.json"}</w:instrText>
      </w:r>
      <w:r w:rsidR="00E3039E">
        <w:rPr>
          <w:rFonts w:ascii="Georgia" w:eastAsia="Arial" w:hAnsi="Georgia" w:cs="Times New Roman"/>
          <w:lang w:val="en-US"/>
        </w:rPr>
        <w:fldChar w:fldCharType="separate"/>
      </w:r>
      <w:r w:rsidR="002337D9" w:rsidRPr="002337D9">
        <w:rPr>
          <w:rFonts w:ascii="Georgia" w:eastAsia="Arial" w:hAnsi="Georgia" w:cs="Times New Roman"/>
          <w:noProof/>
          <w:lang w:val="en-US"/>
        </w:rPr>
        <w:t>(Leasa, Fenanlampir, et al., 2021)</w:t>
      </w:r>
      <w:r w:rsidR="00E3039E">
        <w:rPr>
          <w:rFonts w:ascii="Georgia" w:eastAsia="Arial" w:hAnsi="Georgia" w:cs="Times New Roman"/>
          <w:lang w:val="en-US"/>
        </w:rPr>
        <w:fldChar w:fldCharType="end"/>
      </w:r>
      <w:r w:rsidRPr="00E50E5A">
        <w:rPr>
          <w:rFonts w:ascii="Georgia" w:eastAsia="Arial" w:hAnsi="Georgia" w:cs="Times New Roman"/>
          <w:lang w:val="en-US"/>
        </w:rPr>
        <w:t>.</w:t>
      </w:r>
    </w:p>
    <w:p w14:paraId="2346CB6D" w14:textId="4CE23681" w:rsidR="00BA7B6A" w:rsidRDefault="00B3687F" w:rsidP="00991E90">
      <w:pPr>
        <w:spacing w:after="0" w:line="240" w:lineRule="auto"/>
        <w:ind w:firstLine="284"/>
        <w:jc w:val="both"/>
        <w:rPr>
          <w:rFonts w:ascii="Georgia" w:eastAsia="Arial" w:hAnsi="Georgia" w:cs="Times New Roman"/>
          <w:lang w:val="en-US"/>
        </w:rPr>
      </w:pPr>
      <w:r w:rsidRPr="00B3687F">
        <w:rPr>
          <w:rFonts w:ascii="Georgia" w:eastAsia="Arial" w:hAnsi="Georgia" w:cs="Times New Roman"/>
          <w:lang w:val="en-US"/>
        </w:rPr>
        <w:t xml:space="preserve">Kelas adalah </w:t>
      </w:r>
      <w:r>
        <w:rPr>
          <w:rFonts w:ascii="Georgia" w:eastAsia="Arial" w:hAnsi="Georgia" w:cs="Times New Roman"/>
          <w:lang w:val="en-US"/>
        </w:rPr>
        <w:t>ruang akademik</w:t>
      </w:r>
      <w:r w:rsidRPr="00B3687F">
        <w:rPr>
          <w:rFonts w:ascii="Georgia" w:eastAsia="Arial" w:hAnsi="Georgia" w:cs="Times New Roman"/>
          <w:lang w:val="en-US"/>
        </w:rPr>
        <w:t xml:space="preserve"> </w:t>
      </w:r>
      <w:r>
        <w:rPr>
          <w:rFonts w:ascii="Georgia" w:eastAsia="Arial" w:hAnsi="Georgia" w:cs="Times New Roman"/>
          <w:lang w:val="en-US"/>
        </w:rPr>
        <w:t xml:space="preserve">yang memiliki </w:t>
      </w:r>
      <w:r w:rsidR="00C3308B">
        <w:rPr>
          <w:rFonts w:ascii="Georgia" w:eastAsia="Arial" w:hAnsi="Georgia" w:cs="Times New Roman"/>
          <w:lang w:val="en-US"/>
        </w:rPr>
        <w:t>keragaman intelektual</w:t>
      </w:r>
      <w:r w:rsidR="00F82D38">
        <w:rPr>
          <w:rFonts w:ascii="Georgia" w:eastAsia="Arial" w:hAnsi="Georgia" w:cs="Times New Roman"/>
          <w:lang w:val="en-US"/>
        </w:rPr>
        <w:t xml:space="preserve"> </w:t>
      </w:r>
      <w:r w:rsidR="00F82D38">
        <w:rPr>
          <w:rFonts w:ascii="Georgia" w:eastAsia="Arial" w:hAnsi="Georgia" w:cs="Times New Roman"/>
          <w:lang w:val="en-US"/>
        </w:rPr>
        <w:fldChar w:fldCharType="begin" w:fldLock="1"/>
      </w:r>
      <w:r w:rsidR="00DB7C47">
        <w:rPr>
          <w:rFonts w:ascii="Georgia" w:eastAsia="Arial" w:hAnsi="Georgia" w:cs="Times New Roman"/>
          <w:lang w:val="en-US"/>
        </w:rPr>
        <w:instrText>ADDIN CSL_CITATION {"citationItems":[{"id":"ITEM-1","itemData":{"DOI":"10.1080/13670050.2020.1726280","ISSN":"13670050","abstract":"Academic language proficiency, particularly academic writing, appears to be significantly related to academic achievement. The aim of the present study is to explore the relationship between written language proficiency and academic achievement, and to investigate the effects of a remedial academic writing programme. Academic writing was assessed by means of a Diagnostic Writing Test (DWT), administered to 5810 first year undergraduates in a Dutch university. Academic achievement was operationalised in terms of grade point average (GPA) and study credits obtained. One out of five students failed the DWT, even those who had obtained a (largely) sufficient exam mark for Dutch at high school. An additional analysis was conducted among over 300 students, in order to investigate the role of the DWT, as well as of other possible variables which may influence academic achievement (e.g. former training and time investment). Both the DWT and former training appeared to be related to GPA, but not the number of credits. Time-investment was associated with the number of credits obtained and GPA. Remediation appeared to be successful: about 75% of the participants who followed the course were able to convert a ‘fail’ on the DWT into a ‘pass’.","author":[{"dropping-particle":"","family":"Kuiken","given":"Folkert","non-dropping-particle":"","parse-names":false,"suffix":""},{"dropping-particle":"","family":"Vedder","given":"Ineke","non-dropping-particle":"","parse-names":false,"suffix":""}],"container-title":"International Journal of Bilingual Education and Bilingualism","id":"ITEM-1","issue":"10","issued":{"date-parts":[["2021"]]},"page":"1474-1485","publisher":"Taylor &amp; Francis","title":"The interplay between academic writing abilities of Dutch undergraduate students, a remedial writing programme, and academic achievement","type":"article-journal","volume":"24"},"uris":["http://www.mendeley.com/documents/?uuid=64af625a-8f9c-448a-877d-e09c333d3e6f"]}],"mendeley":{"formattedCitation":"(Kuiken &amp; Vedder, 2021)","plainTextFormattedCitation":"(Kuiken &amp; Vedder, 2021)","previouslyFormattedCitation":"(Kuiken &amp; Vedder, 2021)"},"properties":{"noteIndex":0},"schema":"https://github.com/citation-style-language/schema/raw/master/csl-citation.json"}</w:instrText>
      </w:r>
      <w:r w:rsidR="00F82D38">
        <w:rPr>
          <w:rFonts w:ascii="Georgia" w:eastAsia="Arial" w:hAnsi="Georgia" w:cs="Times New Roman"/>
          <w:lang w:val="en-US"/>
        </w:rPr>
        <w:fldChar w:fldCharType="separate"/>
      </w:r>
      <w:r w:rsidR="00F82D38" w:rsidRPr="00F82D38">
        <w:rPr>
          <w:rFonts w:ascii="Georgia" w:eastAsia="Arial" w:hAnsi="Georgia" w:cs="Times New Roman"/>
          <w:noProof/>
          <w:lang w:val="en-US"/>
        </w:rPr>
        <w:t>(Kuiken &amp; Vedder, 2021)</w:t>
      </w:r>
      <w:r w:rsidR="00F82D38">
        <w:rPr>
          <w:rFonts w:ascii="Georgia" w:eastAsia="Arial" w:hAnsi="Georgia" w:cs="Times New Roman"/>
          <w:lang w:val="en-US"/>
        </w:rPr>
        <w:fldChar w:fldCharType="end"/>
      </w:r>
      <w:r w:rsidRPr="00B3687F">
        <w:rPr>
          <w:rFonts w:ascii="Georgia" w:eastAsia="Arial" w:hAnsi="Georgia" w:cs="Times New Roman"/>
          <w:lang w:val="en-US"/>
        </w:rPr>
        <w:t>. Salah satu yang t</w:t>
      </w:r>
      <w:r>
        <w:rPr>
          <w:rFonts w:ascii="Georgia" w:eastAsia="Arial" w:hAnsi="Georgia" w:cs="Times New Roman"/>
          <w:lang w:val="en-US"/>
        </w:rPr>
        <w:t>ak bisa terhindarkan adalah kemampuan akademik berbeda dari siswa</w:t>
      </w:r>
      <w:r w:rsidR="005F6D5B">
        <w:rPr>
          <w:rFonts w:ascii="Georgia" w:eastAsia="Arial" w:hAnsi="Georgia" w:cs="Times New Roman"/>
          <w:lang w:val="en-US"/>
        </w:rPr>
        <w:t xml:space="preserve"> </w:t>
      </w:r>
      <w:r w:rsidR="005F6D5B">
        <w:rPr>
          <w:rFonts w:ascii="Georgia" w:eastAsia="Arial" w:hAnsi="Georgia" w:cs="Times New Roman"/>
          <w:lang w:val="en-US"/>
        </w:rPr>
        <w:fldChar w:fldCharType="begin" w:fldLock="1"/>
      </w:r>
      <w:r w:rsidR="005F6D5B">
        <w:rPr>
          <w:rFonts w:ascii="Georgia" w:eastAsia="Arial" w:hAnsi="Georgia" w:cs="Times New Roman"/>
          <w:lang w:val="en-US"/>
        </w:rPr>
        <w:instrText>ADDIN CSL_CITATION {"citationItems":[{"id":"ITEM-1","itemData":{"DOI":"10.1016/j.compedu.2021.104154","ISSN":"03601315","abstract":"Virtual reality (VR) learning environments are highly visual and need instructional aid to help the learner. Presenting too much visual information can impair selection and organization processes by overloading the learner's cognitive capacity. Signaling could support these processes by highlighting relevant information. In this study we used signals in form of textual annotations. Research on multimedia design principles provides evidence that such signals can foster learning, but we address the question whether the signaling principle is also applicable in a virtual reality learning environment. Particularly, we investigate the effects on learning by measuring different learning outcomes as well as different types of cognitive load, i.e., extraneous, and germane load in a between-subjects design. Participants (n = 107) were randomly assigned to a group with or without annotations in a VR learning environment. We assumed that learning material with integrated annotations lead to higher learning outcome, lower extraneous cognitive load (ECL), and higher germane cognitive load (GCL) than the control group. Results show that annotations improved learners' recall performance and GCL compared to a control group but had no effects on deeper levels of processing and on ECL. This indicates that annotations in VR can help learners to process the information on a recall level, but not due to a relief in ECL. When VR learning environments should support learners in recall and at the same time foster GCL, then adding annotations can be an appropriate approach.","author":[{"dropping-particle":"","family":"Albus","given":"Patrick","non-dropping-particle":"","parse-names":false,"suffix":""},{"dropping-particle":"","family":"Vogt","given":"Andrea","non-dropping-particle":"","parse-names":false,"suffix":""},{"dropping-particle":"","family":"Seufert","given":"Tina","non-dropping-particle":"","parse-names":false,"suffix":""}],"container-title":"Computers and Education","id":"ITEM-1","issue":"January","issued":{"date-parts":[["2021"]]},"page":"104154","publisher":"Elsevier Ltd","title":"Signaling in virtual reality influences learning outcome and cognitive load","type":"article-journal","volume":"166"},"uris":["http://www.mendeley.com/documents/?uuid=13057f03-a03c-4ac0-9e5b-7854ddcb0708"]}],"mendeley":{"formattedCitation":"(Albus et al., 2021)","plainTextFormattedCitation":"(Albus et al., 2021)","previouslyFormattedCitation":"(Albus et al., 2021)"},"properties":{"noteIndex":0},"schema":"https://github.com/citation-style-language/schema/raw/master/csl-citation.json"}</w:instrText>
      </w:r>
      <w:r w:rsidR="005F6D5B">
        <w:rPr>
          <w:rFonts w:ascii="Georgia" w:eastAsia="Arial" w:hAnsi="Georgia" w:cs="Times New Roman"/>
          <w:lang w:val="en-US"/>
        </w:rPr>
        <w:fldChar w:fldCharType="separate"/>
      </w:r>
      <w:r w:rsidR="005F6D5B" w:rsidRPr="005F6D5B">
        <w:rPr>
          <w:rFonts w:ascii="Georgia" w:eastAsia="Arial" w:hAnsi="Georgia" w:cs="Times New Roman"/>
          <w:noProof/>
          <w:lang w:val="en-US"/>
        </w:rPr>
        <w:t>(Albus et al., 2021)</w:t>
      </w:r>
      <w:r w:rsidR="005F6D5B">
        <w:rPr>
          <w:rFonts w:ascii="Georgia" w:eastAsia="Arial" w:hAnsi="Georgia" w:cs="Times New Roman"/>
          <w:lang w:val="en-US"/>
        </w:rPr>
        <w:fldChar w:fldCharType="end"/>
      </w:r>
      <w:r>
        <w:rPr>
          <w:rFonts w:ascii="Georgia" w:eastAsia="Arial" w:hAnsi="Georgia" w:cs="Times New Roman"/>
          <w:lang w:val="en-US"/>
        </w:rPr>
        <w:t xml:space="preserve">. Dalam suasana kelas </w:t>
      </w:r>
      <w:r w:rsidRPr="00B3687F">
        <w:rPr>
          <w:rFonts w:ascii="Georgia" w:eastAsia="Arial" w:hAnsi="Georgia" w:cs="Times New Roman"/>
          <w:lang w:val="en-US"/>
        </w:rPr>
        <w:t>kooperatif, heterogeni</w:t>
      </w:r>
      <w:r>
        <w:rPr>
          <w:rFonts w:ascii="Georgia" w:eastAsia="Arial" w:hAnsi="Georgia" w:cs="Times New Roman"/>
          <w:lang w:val="en-US"/>
        </w:rPr>
        <w:t>tas adalah salah unggulan yang diperhatikan oleh guru</w:t>
      </w:r>
      <w:r w:rsidR="001B028C">
        <w:rPr>
          <w:rFonts w:ascii="Georgia" w:eastAsia="Arial" w:hAnsi="Georgia" w:cs="Times New Roman"/>
          <w:lang w:val="en-US"/>
        </w:rPr>
        <w:t xml:space="preserve"> </w:t>
      </w:r>
      <w:r w:rsidR="001B028C">
        <w:rPr>
          <w:rFonts w:ascii="Georgia" w:eastAsia="Arial" w:hAnsi="Georgia" w:cs="Times New Roman"/>
          <w:lang w:val="en-US"/>
        </w:rPr>
        <w:fldChar w:fldCharType="begin" w:fldLock="1"/>
      </w:r>
      <w:r w:rsidR="00D35C61">
        <w:rPr>
          <w:rFonts w:ascii="Georgia" w:eastAsia="Arial" w:hAnsi="Georgia" w:cs="Times New Roman"/>
          <w:lang w:val="en-US"/>
        </w:rPr>
        <w:instrText>ADDIN CSL_CITATION {"citationItems":[{"id":"ITEM-1","itemData":{"DOI":"10.1080/10474412.2015.1108200","ISSN":"10474412","abstract":"General education teachers, special education teachers, social workers, psychologists, and a myriad of specialists are responsible for delivering content to all students within inclusive environments. These educational teams continue to search for strategies that can be recommended or used in an inclusive environment. Researchers have discovered that an instructional strategy such as Numbered Heads Together (NHT) increases both academic and behavioral outcomes for students with and without disabilities. This article provides consultants, Response to Intervention (RtI) team members, and coteaching teams with a specific strategy of NHT that can be used by two or more professionals to develop lessons or deliver instruction using a coteaching or consultant approach with both professionals (consultant and general education teacher) assessing learner outcomes after the completion of the activity.","author":[{"dropping-particle":"","family":"Hunter","given":"William C.","non-dropping-particle":"","parse-names":false,"suffix":""},{"dropping-particle":"","family":"Dieker","given":"Lisa A.","non-dropping-particle":"","parse-names":false,"suffix":""},{"dropping-particle":"","family":"Whitney","given":"Todd","non-dropping-particle":"","parse-names":false,"suffix":""}],"container-title":"Journal of Educational and Psychological Consultation","id":"ITEM-1","issue":"2","issued":{"date-parts":[["2016"]]},"page":"186-199","title":"Consultants and Coteachers Affecting Student Outcomes with Numbered Heads Together: Keeping All Engaged","type":"article-journal","volume":"26"},"uris":["http://www.mendeley.com/documents/?uuid=223367e1-a703-4d59-90e8-1255b38c8837"]}],"mendeley":{"formattedCitation":"(Hunter et al., 2016)","manualFormatting":"(Hunter et al., 2016","plainTextFormattedCitation":"(Hunter et al., 2016)","previouslyFormattedCitation":"(Hunter et al., 2016)"},"properties":{"noteIndex":0},"schema":"https://github.com/citation-style-language/schema/raw/master/csl-citation.json"}</w:instrText>
      </w:r>
      <w:r w:rsidR="001B028C">
        <w:rPr>
          <w:rFonts w:ascii="Georgia" w:eastAsia="Arial" w:hAnsi="Georgia" w:cs="Times New Roman"/>
          <w:lang w:val="en-US"/>
        </w:rPr>
        <w:fldChar w:fldCharType="separate"/>
      </w:r>
      <w:r w:rsidR="001B028C" w:rsidRPr="001B028C">
        <w:rPr>
          <w:rFonts w:ascii="Georgia" w:eastAsia="Arial" w:hAnsi="Georgia" w:cs="Times New Roman"/>
          <w:noProof/>
          <w:lang w:val="en-US"/>
        </w:rPr>
        <w:t>(Hunter et al., 2016</w:t>
      </w:r>
      <w:r w:rsidR="001B028C">
        <w:rPr>
          <w:rFonts w:ascii="Georgia" w:eastAsia="Arial" w:hAnsi="Georgia" w:cs="Times New Roman"/>
          <w:lang w:val="en-US"/>
        </w:rPr>
        <w:fldChar w:fldCharType="end"/>
      </w:r>
      <w:r w:rsidR="001B028C">
        <w:rPr>
          <w:rFonts w:ascii="Georgia" w:eastAsia="Arial" w:hAnsi="Georgia" w:cs="Times New Roman"/>
          <w:lang w:val="en-US"/>
        </w:rPr>
        <w:t xml:space="preserve">; </w:t>
      </w:r>
      <w:r w:rsidR="001B028C">
        <w:rPr>
          <w:rFonts w:ascii="Georgia" w:eastAsia="Arial" w:hAnsi="Georgia" w:cs="Times New Roman"/>
          <w:lang w:val="en-US"/>
        </w:rPr>
        <w:fldChar w:fldCharType="begin" w:fldLock="1"/>
      </w:r>
      <w:r w:rsidR="001B028C">
        <w:rPr>
          <w:rFonts w:ascii="Georgia" w:eastAsia="Arial" w:hAnsi="Georgia" w:cs="Times New Roman"/>
          <w:lang w:val="en-US"/>
        </w:rPr>
        <w:instrText>ADDIN CSL_CITATION {"citationItems":[{"id":"ITEM-1","itemData":{"DOI":"10.21009/biosferjpb.v12n2.122-134","ISSN":"2614-3984","abstract":"&lt;p&gt;Jigsaw type cooperative learning is explored again to train students from an early age to become a small expert to reveal the effects it has on the cognitive achievement of elementary students. The study was conducted at one of the public schools in Ambon City, preceded by a placement test on the classes used. The cognitive learning achievement test instrument was developed with a cognitive load reaching C4 and has met the instrument quality prerequisite tests. The results of the study prove that there are differences in student learning outcomes in learning with Jigsaw and Example Non-Example (ENE) types. The corrected mean score showed that the treatment group was 25,856 points higher than the control group. This means that Jigsaw is superior in improving student cognitive achievement compared to ENE. Thus, Jigsaw can be used in other learning in elementary school because it has the potential to enhance student learning outcomes. Further studies are needed to uncover the potential of Jigsaw to empower various types of learning outcomes and other thinking skills.&lt;/p&gt;","author":[{"dropping-particle":"","family":"Leasa","given":"Marleny","non-dropping-particle":"","parse-names":false,"suffix":""},{"dropping-particle":"","family":"Sanabuky","given":"Yakub Lalyolik","non-dropping-particle":"","parse-names":false,"suffix":""},{"dropping-particle":"","family":"Batlolona","given":"John Rafafy","non-dropping-particle":"","parse-names":false,"suffix":""},{"dropping-particle":"","family":"Enriquez","given":"Javier Julia","non-dropping-particle":"","parse-names":false,"suffix":""}],"container-title":"Biosfer","id":"ITEM-1","issue":"2","issued":{"date-parts":[["2019","11","17"]]},"page":"122-134","title":"Jigsaw in teaching circulatory system: a learning activity on elementary science classroom","type":"article-journal","volume":"12"},"uris":["http://www.mendeley.com/documents/?uuid=149ea76d-e125-34cb-a694-4b05ce177721"]}],"mendeley":{"formattedCitation":"(Leasa et al., 2019)","manualFormatting":"Leasa et al., 2019)","plainTextFormattedCitation":"(Leasa et al., 2019)","previouslyFormattedCitation":"(Leasa et al., 2019)"},"properties":{"noteIndex":0},"schema":"https://github.com/citation-style-language/schema/raw/master/csl-citation.json"}</w:instrText>
      </w:r>
      <w:r w:rsidR="001B028C">
        <w:rPr>
          <w:rFonts w:ascii="Georgia" w:eastAsia="Arial" w:hAnsi="Georgia" w:cs="Times New Roman"/>
          <w:lang w:val="en-US"/>
        </w:rPr>
        <w:fldChar w:fldCharType="separate"/>
      </w:r>
      <w:r w:rsidR="001B028C" w:rsidRPr="001B028C">
        <w:rPr>
          <w:rFonts w:ascii="Georgia" w:eastAsia="Arial" w:hAnsi="Georgia" w:cs="Times New Roman"/>
          <w:noProof/>
          <w:lang w:val="en-US"/>
        </w:rPr>
        <w:t>Leasa et al., 2019)</w:t>
      </w:r>
      <w:r w:rsidR="001B028C">
        <w:rPr>
          <w:rFonts w:ascii="Georgia" w:eastAsia="Arial" w:hAnsi="Georgia" w:cs="Times New Roman"/>
          <w:lang w:val="en-US"/>
        </w:rPr>
        <w:fldChar w:fldCharType="end"/>
      </w:r>
      <w:r w:rsidRPr="00B3687F">
        <w:rPr>
          <w:rFonts w:ascii="Georgia" w:eastAsia="Arial" w:hAnsi="Georgia" w:cs="Times New Roman"/>
          <w:lang w:val="en-US"/>
        </w:rPr>
        <w:t>. Selain mempromosikan siswa</w:t>
      </w:r>
      <w:r>
        <w:rPr>
          <w:rFonts w:ascii="Georgia" w:eastAsia="Arial" w:hAnsi="Georgia" w:cs="Times New Roman"/>
          <w:lang w:val="en-US"/>
        </w:rPr>
        <w:t xml:space="preserve"> untuk berpikir dan melatih pengetahuan</w:t>
      </w:r>
      <w:r w:rsidRPr="00B3687F">
        <w:rPr>
          <w:rFonts w:ascii="Georgia" w:eastAsia="Arial" w:hAnsi="Georgia" w:cs="Times New Roman"/>
          <w:lang w:val="en-US"/>
        </w:rPr>
        <w:t>, heterogenitas juga membekali siswa untuk membangun relasi atau kompetisi sosial yang baik</w:t>
      </w:r>
      <w:r>
        <w:rPr>
          <w:rFonts w:ascii="Georgia" w:eastAsia="Arial" w:hAnsi="Georgia" w:cs="Times New Roman"/>
          <w:lang w:val="en-US"/>
        </w:rPr>
        <w:t xml:space="preserve"> antar siswa</w:t>
      </w:r>
      <w:r w:rsidR="005F6D5B">
        <w:rPr>
          <w:rFonts w:ascii="Georgia" w:eastAsia="Arial" w:hAnsi="Georgia" w:cs="Times New Roman"/>
          <w:lang w:val="en-US"/>
        </w:rPr>
        <w:t xml:space="preserve"> </w:t>
      </w:r>
      <w:r w:rsidR="005F6D5B">
        <w:rPr>
          <w:rFonts w:ascii="Georgia" w:eastAsia="Arial" w:hAnsi="Georgia" w:cs="Times New Roman"/>
          <w:lang w:val="en-US"/>
        </w:rPr>
        <w:fldChar w:fldCharType="begin" w:fldLock="1"/>
      </w:r>
      <w:r w:rsidR="00300E55">
        <w:rPr>
          <w:rFonts w:ascii="Georgia" w:eastAsia="Arial" w:hAnsi="Georgia" w:cs="Times New Roman"/>
          <w:lang w:val="en-US"/>
        </w:rPr>
        <w:instrText>ADDIN CSL_CITATION {"citationItems":[{"id":"ITEM-1","itemData":{"DOI":"10.1016/j.tele.2021.101632","ISSN":"07365853","abstract":"At present 21st century education boosts situated teaching approaches, meaningful learning habits, and experiential use of new technology, all of which enable learners to acquire domain knowledge and develop skills during seamless scholar labors. In this sense, students are motivated to learn by actively engaging in educational experiences performed in renewed stages with trendy resources and praxis, where they are involved in hands–on activities similar to true work. Hence, traditional academic facilities, curricula, content, materials, and practices should be transformed according to the needs and trends of an evolving world society that requires the use of smart and advanced technologies that empower teaching and learning duties. With the aim of contributing to cope with such a demand, a learning design cooperative framework is proposed to harness suitable technologies that upgrade classic academic sceneries and toils to recreate 21st century education settings. Thus, the framework is tested during a real case, where it leads the conversion of a typical engineering lab to a ubiquitous engineering lab that enables undergraduates to access digital content and cooperate with peers to automatize equipment proper to an industrial cell. Albeit experimental pupils were not trained to adapt to a novel situation and dealt with higher cognitive load, they reached a more superior and balanced learning than their control mates. As a result, evidence shows how a suitable learning design reforms a conventional scholar scene to feature 21st century education and guides successful technology–driven learning processes.","author":[{"dropping-particle":"","family":"Peña-Ayala","given":"Alejandro","non-dropping-particle":"","parse-names":false,"suffix":""}],"container-title":"Telematics and Informatics","id":"ITEM-1","issue":"May","issued":{"date-parts":[["2021"]]},"page":"1-16","title":"A learning design cooperative framework to instill 21st century education","type":"article-journal","volume":"62"},"uris":["http://www.mendeley.com/documents/?uuid=cec3a34f-d625-4ae6-9c5a-b9e96962ce2d"]}],"mendeley":{"formattedCitation":"(Peña-Ayala, 2021)","plainTextFormattedCitation":"(Peña-Ayala, 2021)","previouslyFormattedCitation":"(Peña-Ayala, 2021)"},"properties":{"noteIndex":0},"schema":"https://github.com/citation-style-language/schema/raw/master/csl-citation.json"}</w:instrText>
      </w:r>
      <w:r w:rsidR="005F6D5B">
        <w:rPr>
          <w:rFonts w:ascii="Georgia" w:eastAsia="Arial" w:hAnsi="Georgia" w:cs="Times New Roman"/>
          <w:lang w:val="en-US"/>
        </w:rPr>
        <w:fldChar w:fldCharType="separate"/>
      </w:r>
      <w:r w:rsidR="005F6D5B" w:rsidRPr="005F6D5B">
        <w:rPr>
          <w:rFonts w:ascii="Georgia" w:eastAsia="Arial" w:hAnsi="Georgia" w:cs="Times New Roman"/>
          <w:noProof/>
          <w:lang w:val="en-US"/>
        </w:rPr>
        <w:t>(Peña-Ayala, 2021)</w:t>
      </w:r>
      <w:r w:rsidR="005F6D5B">
        <w:rPr>
          <w:rFonts w:ascii="Georgia" w:eastAsia="Arial" w:hAnsi="Georgia" w:cs="Times New Roman"/>
          <w:lang w:val="en-US"/>
        </w:rPr>
        <w:fldChar w:fldCharType="end"/>
      </w:r>
      <w:r>
        <w:rPr>
          <w:rFonts w:ascii="Georgia" w:eastAsia="Arial" w:hAnsi="Georgia" w:cs="Times New Roman"/>
          <w:lang w:val="en-US"/>
        </w:rPr>
        <w:t>.</w:t>
      </w:r>
      <w:r w:rsidR="006C512B">
        <w:rPr>
          <w:rFonts w:ascii="Georgia" w:eastAsia="Arial" w:hAnsi="Georgia" w:cs="Times New Roman"/>
          <w:lang w:val="en-US"/>
        </w:rPr>
        <w:t xml:space="preserve"> </w:t>
      </w:r>
      <w:r w:rsidR="006C512B" w:rsidRPr="006C512B">
        <w:rPr>
          <w:rFonts w:ascii="Georgia" w:eastAsia="Arial" w:hAnsi="Georgia" w:cs="Times New Roman"/>
          <w:lang w:val="en-US"/>
        </w:rPr>
        <w:t xml:space="preserve">Kemampuan akademik siswa yang berbeda dapat </w:t>
      </w:r>
      <w:r w:rsidR="008B1E71">
        <w:rPr>
          <w:rFonts w:ascii="Georgia" w:eastAsia="Arial" w:hAnsi="Georgia" w:cs="Times New Roman"/>
          <w:lang w:val="en-US"/>
        </w:rPr>
        <w:t>dapat difasilitasi</w:t>
      </w:r>
      <w:r w:rsidR="006C512B" w:rsidRPr="006C512B">
        <w:rPr>
          <w:rFonts w:ascii="Georgia" w:eastAsia="Arial" w:hAnsi="Georgia" w:cs="Times New Roman"/>
          <w:lang w:val="en-US"/>
        </w:rPr>
        <w:t xml:space="preserve"> dalam pembelajaran </w:t>
      </w:r>
      <w:r w:rsidR="006C512B">
        <w:rPr>
          <w:rFonts w:ascii="Georgia" w:eastAsia="Arial" w:hAnsi="Georgia" w:cs="Times New Roman"/>
          <w:lang w:val="en-US"/>
        </w:rPr>
        <w:t>TGT</w:t>
      </w:r>
      <w:r w:rsidR="00D35C61">
        <w:rPr>
          <w:rFonts w:ascii="Georgia" w:eastAsia="Arial" w:hAnsi="Georgia" w:cs="Times New Roman"/>
          <w:lang w:val="en-US"/>
        </w:rPr>
        <w:t xml:space="preserve"> </w:t>
      </w:r>
      <w:r w:rsidR="00D35C61">
        <w:rPr>
          <w:rFonts w:ascii="Georgia" w:eastAsia="Arial" w:hAnsi="Georgia" w:cs="Times New Roman"/>
          <w:lang w:val="en-US"/>
        </w:rPr>
        <w:fldChar w:fldCharType="begin" w:fldLock="1"/>
      </w:r>
      <w:r w:rsidR="00540BD8">
        <w:rPr>
          <w:rFonts w:ascii="Georgia" w:eastAsia="Arial" w:hAnsi="Georgia" w:cs="Times New Roman"/>
          <w:lang w:val="en-US"/>
        </w:rPr>
        <w:instrText>ADDIN CSL_CITATION {"citationItems":[{"id":"ITEM-1","itemData":{"DOI":"10.3102/00346543050002315","ISBN":"0034654305","ISSN":"00346543","abstract":"Research on classroom cooperative learning techniques, in which students work in small groups and receive rewards or recognition based on their group performance, has been increasing in the past few years. This review summarizes the results of 28 primary field projects lasting at least 2 weeks, in which cooperative learning methods were used in elementary or secondary classrooms. The pattern of research findings supports the utility of cooperative learning methods in general for increasing student achievement, positive race relations in desegregated schools, mutual concern among students, student self-esteem, and other positive outcomes. The various cooperative learning methods are contrasted in terms of characteristics and outcomes, and the next steps for research in this area are outlined. © 1980, Sage Publications. All rights reserved.","author":[{"dropping-particle":"","family":"Slavin","given":"Robert E.","non-dropping-particle":"","parse-names":false,"suffix":""}],"container-title":"Review of Educational Research","id":"ITEM-1","issue":"2","issued":{"date-parts":[["1980"]]},"page":"315-342","title":"Cooperative Learning","type":"article-journal","volume":"50"},"uris":["http://www.mendeley.com/documents/?uuid=42d8a19b-7b46-4b90-9c7e-0e7983ee6439"]}],"mendeley":{"formattedCitation":"(Slavin, 1980)","manualFormatting":"(Slavin, 1980","plainTextFormattedCitation":"(Slavin, 1980)","previouslyFormattedCitation":"(Slavin, 1980)"},"properties":{"noteIndex":0},"schema":"https://github.com/citation-style-language/schema/raw/master/csl-citation.json"}</w:instrText>
      </w:r>
      <w:r w:rsidR="00D35C61">
        <w:rPr>
          <w:rFonts w:ascii="Georgia" w:eastAsia="Arial" w:hAnsi="Georgia" w:cs="Times New Roman"/>
          <w:lang w:val="en-US"/>
        </w:rPr>
        <w:fldChar w:fldCharType="separate"/>
      </w:r>
      <w:r w:rsidR="00D35C61" w:rsidRPr="00D35C61">
        <w:rPr>
          <w:rFonts w:ascii="Georgia" w:eastAsia="Arial" w:hAnsi="Georgia" w:cs="Times New Roman"/>
          <w:noProof/>
          <w:lang w:val="en-US"/>
        </w:rPr>
        <w:t>(Slavin, 1980</w:t>
      </w:r>
      <w:r w:rsidR="00D35C61">
        <w:rPr>
          <w:rFonts w:ascii="Georgia" w:eastAsia="Arial" w:hAnsi="Georgia" w:cs="Times New Roman"/>
          <w:lang w:val="en-US"/>
        </w:rPr>
        <w:fldChar w:fldCharType="end"/>
      </w:r>
      <w:r w:rsidR="00540BD8">
        <w:rPr>
          <w:rFonts w:ascii="Georgia" w:eastAsia="Arial" w:hAnsi="Georgia" w:cs="Times New Roman"/>
          <w:lang w:val="en-US"/>
        </w:rPr>
        <w:t xml:space="preserve">; </w:t>
      </w:r>
      <w:r w:rsidR="00540BD8">
        <w:rPr>
          <w:rFonts w:ascii="Georgia" w:eastAsia="Arial" w:hAnsi="Georgia" w:cs="Times New Roman"/>
          <w:lang w:val="en-US"/>
        </w:rPr>
        <w:fldChar w:fldCharType="begin" w:fldLock="1"/>
      </w:r>
      <w:r w:rsidR="002337D9">
        <w:rPr>
          <w:rFonts w:ascii="Georgia" w:eastAsia="Arial" w:hAnsi="Georgia" w:cs="Times New Roman"/>
          <w:lang w:val="en-US"/>
        </w:rPr>
        <w:instrText>ADDIN CSL_CITATION {"citationItems":[{"id":"ITEM-1","itemData":{"DOI":"10.4471/redimat.2015.1519","ISSN":"2014-3621","abstract":"Games-based learning has captured the interest of educationists and industrialists who seek to reveal the characteristics of computer games as perceived by some to be a potentially effective approach for teaching and learning. Despite this interest in using games-based learning, there is a dearth of studies on the context of gaming and education in Third World countries. This study investigated the effects of game playing on performance and attitudes of Grade VIII students toward mathematics. The study implemented TGT technique for the experimental group and typical lecture-based approach for the control group. The same achievement test was employed in both pretest and posttest; an inventory of attitudes towards mathematics was applied for the pretest and posttest on TGT experimental and control group, an attitude scale on computer games was employed for the TGT experimental group, a semi-structured interview for the teacher and an FGD guideline for students were applied to serve the purpose of research objectives. After three weeks of intervention, it was shown that the TGT experimental group students had achieved a significant learning outcome than the lecture based control group students. Attitude toward mathematics differed to a certain positive extent in the TGT experimental group. Based on these findings, some recommendations were made to overcome barriers to integrating web-based game playing into the classroom.","author":[{"dropping-particle":"","family":"Salam","given":"Abdus","non-dropping-particle":"","parse-names":false,"suffix":""},{"dropping-particle":"","family":"Hossain","given":"Anwar","non-dropping-particle":"","parse-names":false,"suffix":""},{"dropping-particle":"","family":"Rahman","given":"Shahidur","non-dropping-particle":"","parse-names":false,"suffix":""}],"container-title":"Malaysian Online Journal of Educational Technology","id":"ITEM-1","issue":"3","issued":{"date-parts":[["2015"]]},"page":"271-287","title":"Teams Games Tournaments ( TGT ). Cooperative Technique for Learning Mathematics in Secondary Schools in Bangladesh","type":"article-journal","volume":"3"},"uris":["http://www.mendeley.com/documents/?uuid=7601f8c1-0e67-4fca-8589-0a67663dd1af"]}],"mendeley":{"formattedCitation":"(Salam et al., 2015)","manualFormatting":"Salam et al., 2015)","plainTextFormattedCitation":"(Salam et al., 2015)","previouslyFormattedCitation":"(Salam et al., 2015)"},"properties":{"noteIndex":0},"schema":"https://github.com/citation-style-language/schema/raw/master/csl-citation.json"}</w:instrText>
      </w:r>
      <w:r w:rsidR="00540BD8">
        <w:rPr>
          <w:rFonts w:ascii="Georgia" w:eastAsia="Arial" w:hAnsi="Georgia" w:cs="Times New Roman"/>
          <w:lang w:val="en-US"/>
        </w:rPr>
        <w:fldChar w:fldCharType="separate"/>
      </w:r>
      <w:r w:rsidR="00540BD8" w:rsidRPr="00540BD8">
        <w:rPr>
          <w:rFonts w:ascii="Georgia" w:eastAsia="Arial" w:hAnsi="Georgia" w:cs="Times New Roman"/>
          <w:noProof/>
          <w:lang w:val="en-US"/>
        </w:rPr>
        <w:t>Salam et al., 2015)</w:t>
      </w:r>
      <w:r w:rsidR="00540BD8">
        <w:rPr>
          <w:rFonts w:ascii="Georgia" w:eastAsia="Arial" w:hAnsi="Georgia" w:cs="Times New Roman"/>
          <w:lang w:val="en-US"/>
        </w:rPr>
        <w:fldChar w:fldCharType="end"/>
      </w:r>
      <w:r w:rsidR="000A3754">
        <w:rPr>
          <w:rFonts w:ascii="Georgia" w:eastAsia="Arial" w:hAnsi="Georgia" w:cs="Times New Roman"/>
          <w:lang w:val="en-US"/>
        </w:rPr>
        <w:t>. S</w:t>
      </w:r>
      <w:r w:rsidR="000A3754" w:rsidRPr="000A3754">
        <w:rPr>
          <w:rFonts w:ascii="Georgia" w:eastAsia="Arial" w:hAnsi="Georgia" w:cs="Times New Roman"/>
          <w:lang w:val="en-US"/>
        </w:rPr>
        <w:t xml:space="preserve">iswa </w:t>
      </w:r>
      <w:r w:rsidR="000A3754">
        <w:rPr>
          <w:rFonts w:ascii="Georgia" w:eastAsia="Arial" w:hAnsi="Georgia" w:cs="Times New Roman"/>
          <w:lang w:val="en-US"/>
        </w:rPr>
        <w:t xml:space="preserve">dengan hasil belajar </w:t>
      </w:r>
      <w:r w:rsidR="000A3754" w:rsidRPr="000A3754">
        <w:rPr>
          <w:rFonts w:ascii="Georgia" w:eastAsia="Arial" w:hAnsi="Georgia" w:cs="Times New Roman"/>
          <w:lang w:val="en-US"/>
        </w:rPr>
        <w:t>rendah</w:t>
      </w:r>
      <w:r w:rsidR="000A3754">
        <w:rPr>
          <w:rFonts w:ascii="Georgia" w:eastAsia="Arial" w:hAnsi="Georgia" w:cs="Times New Roman"/>
          <w:lang w:val="en-US"/>
        </w:rPr>
        <w:t xml:space="preserve"> dan siswa yang memiliki hasil belajar kognitif yang tinggi </w:t>
      </w:r>
      <w:r w:rsidR="000A3754" w:rsidRPr="000A3754">
        <w:rPr>
          <w:rFonts w:ascii="Georgia" w:eastAsia="Arial" w:hAnsi="Georgia" w:cs="Times New Roman"/>
          <w:lang w:val="en-US"/>
        </w:rPr>
        <w:t xml:space="preserve">cenderung </w:t>
      </w:r>
      <w:r w:rsidR="000A3754">
        <w:rPr>
          <w:rFonts w:ascii="Georgia" w:eastAsia="Arial" w:hAnsi="Georgia" w:cs="Times New Roman"/>
          <w:lang w:val="en-US"/>
        </w:rPr>
        <w:t>memiliki banyak perbedaan</w:t>
      </w:r>
      <w:r w:rsidR="002337D9">
        <w:rPr>
          <w:rFonts w:ascii="Georgia" w:eastAsia="Arial" w:hAnsi="Georgia" w:cs="Times New Roman"/>
          <w:lang w:val="en-US"/>
        </w:rPr>
        <w:t xml:space="preserve"> </w:t>
      </w:r>
      <w:r w:rsidR="002337D9">
        <w:rPr>
          <w:rFonts w:ascii="Georgia" w:eastAsia="Arial" w:hAnsi="Georgia" w:cs="Times New Roman"/>
          <w:lang w:val="en-US"/>
        </w:rPr>
        <w:fldChar w:fldCharType="begin" w:fldLock="1"/>
      </w:r>
      <w:r w:rsidR="00E74AEE">
        <w:rPr>
          <w:rFonts w:ascii="Georgia" w:eastAsia="Arial" w:hAnsi="Georgia" w:cs="Times New Roman"/>
          <w:lang w:val="en-US"/>
        </w:rPr>
        <w:instrText>ADDIN CSL_CITATION {"citationItems":[{"id":"ITEM-1","itemData":{"author":[{"dropping-particle":"","family":"Leasa","given":"Marleny","non-dropping-particle":"","parse-names":false,"suffix":""},{"dropping-particle":"","family":"Batlolona","given":"John Rafafy","non-dropping-particle":"","parse-names":false,"suffix":""},{"dropping-particle":"","family":"Talakua","given":"Melvie","non-dropping-particle":"","parse-names":false,"suffix":""}],"id":"ITEM-1","issue":"1","issued":{"date-parts":[["2021"]]},"page":"74-89","title":"ELEMENTARY STUDENTS ’ CREATIVE THINKING SKILLS IN SCIENCE IN THE MALUKU ISLANDS , INDONESIA","type":"article-journal","volume":"14"},"uris":["http://www.mendeley.com/documents/?uuid=0d1029c5-874d-438d-96dd-3000bfd60b86"]}],"mendeley":{"formattedCitation":"(Leasa, Batlolona, et al., 2021)","plainTextFormattedCitation":"(Leasa, Batlolona, et al., 2021)","previouslyFormattedCitation":"(Leasa, Batlolona, et al., 2021)"},"properties":{"noteIndex":0},"schema":"https://github.com/citation-style-language/schema/raw/master/csl-citation.json"}</w:instrText>
      </w:r>
      <w:r w:rsidR="002337D9">
        <w:rPr>
          <w:rFonts w:ascii="Georgia" w:eastAsia="Arial" w:hAnsi="Georgia" w:cs="Times New Roman"/>
          <w:lang w:val="en-US"/>
        </w:rPr>
        <w:fldChar w:fldCharType="separate"/>
      </w:r>
      <w:r w:rsidR="002337D9" w:rsidRPr="002337D9">
        <w:rPr>
          <w:rFonts w:ascii="Georgia" w:eastAsia="Arial" w:hAnsi="Georgia" w:cs="Times New Roman"/>
          <w:noProof/>
          <w:lang w:val="en-US"/>
        </w:rPr>
        <w:t>(Leasa, Batlolona, et al., 2021)</w:t>
      </w:r>
      <w:r w:rsidR="002337D9">
        <w:rPr>
          <w:rFonts w:ascii="Georgia" w:eastAsia="Arial" w:hAnsi="Georgia" w:cs="Times New Roman"/>
          <w:lang w:val="en-US"/>
        </w:rPr>
        <w:fldChar w:fldCharType="end"/>
      </w:r>
      <w:r w:rsidR="000A3754">
        <w:rPr>
          <w:rFonts w:ascii="Georgia" w:eastAsia="Arial" w:hAnsi="Georgia" w:cs="Times New Roman"/>
          <w:lang w:val="en-US"/>
        </w:rPr>
        <w:t xml:space="preserve">. Dalam kelas siswa diperhadapkan dengan situasi </w:t>
      </w:r>
      <w:r w:rsidR="000A3754" w:rsidRPr="000A3754">
        <w:rPr>
          <w:rFonts w:ascii="Georgia" w:eastAsia="Arial" w:hAnsi="Georgia" w:cs="Times New Roman"/>
          <w:lang w:val="en-US"/>
        </w:rPr>
        <w:t>yang lebih menantang, memiliki motivasi diri</w:t>
      </w:r>
      <w:r w:rsidR="000A3754">
        <w:rPr>
          <w:rFonts w:ascii="Georgia" w:eastAsia="Arial" w:hAnsi="Georgia" w:cs="Times New Roman"/>
          <w:lang w:val="en-US"/>
        </w:rPr>
        <w:t xml:space="preserve"> yang berbeda, dan lebih idealis untuk menjadi yang terbaik</w:t>
      </w:r>
      <w:r w:rsidR="00300E55">
        <w:rPr>
          <w:rFonts w:ascii="Georgia" w:eastAsia="Arial" w:hAnsi="Georgia" w:cs="Times New Roman"/>
          <w:lang w:val="en-US"/>
        </w:rPr>
        <w:t xml:space="preserve"> </w:t>
      </w:r>
      <w:r w:rsidR="00300E55">
        <w:rPr>
          <w:rFonts w:ascii="Georgia" w:eastAsia="Arial" w:hAnsi="Georgia" w:cs="Times New Roman"/>
          <w:lang w:val="en-US"/>
        </w:rPr>
        <w:fldChar w:fldCharType="begin" w:fldLock="1"/>
      </w:r>
      <w:r w:rsidR="00F82D38">
        <w:rPr>
          <w:rFonts w:ascii="Georgia" w:eastAsia="Arial" w:hAnsi="Georgia" w:cs="Times New Roman"/>
          <w:lang w:val="en-US"/>
        </w:rPr>
        <w:instrText>ADDIN CSL_CITATION {"citationItems":[{"id":"ITEM-1","itemData":{"DOI":"10.1016/j.ijer.2020.101564","ISSN":"08830355","abstract":"Although exploratory talk between teachers and students and amongst students can promote positive learning experiences and cognitive development, it is the former that has dominated much of contemporary classroom discourse. Research over the past four decades has not provided a convincing response to whether some modes of talk may be more beneficial, and in what order. Using a quantitative approach, students were surveyed on five facets of classroom talk and teacher scaffolding of cooperative learning. Academic performance and background (individual and classroom compositional) characteristics were also examined. Findings are broadly consistent with literature in regard to the dominance of presentational teacher questions. However, conventional recitation instruction appears to be educationally valuable when used skillfully with exploratory talk and cooperative teacher scaffolds.","author":[{"dropping-particle":"","family":"Chan","given":"Melvin","non-dropping-particle":"","parse-names":false,"suffix":""}],"container-title":"International Journal of Educational Research","id":"ITEM-1","issue":"March","issued":{"date-parts":[["2020"]]},"page":"101564","publisher":"Elsevier","title":"A multilevel SEM study of classroom talk on cooperative learning and academic achievement: Does cooperative scaffolding matter?","type":"article-journal","volume":"101"},"uris":["http://www.mendeley.com/documents/?uuid=541f6d06-404f-4286-8fbc-a5e20a80b2c0"]}],"mendeley":{"formattedCitation":"(Chan, 2020)","plainTextFormattedCitation":"(Chan, 2020)","previouslyFormattedCitation":"(Chan, 2020)"},"properties":{"noteIndex":0},"schema":"https://github.com/citation-style-language/schema/raw/master/csl-citation.json"}</w:instrText>
      </w:r>
      <w:r w:rsidR="00300E55">
        <w:rPr>
          <w:rFonts w:ascii="Georgia" w:eastAsia="Arial" w:hAnsi="Georgia" w:cs="Times New Roman"/>
          <w:lang w:val="en-US"/>
        </w:rPr>
        <w:fldChar w:fldCharType="separate"/>
      </w:r>
      <w:r w:rsidR="00300E55" w:rsidRPr="00300E55">
        <w:rPr>
          <w:rFonts w:ascii="Georgia" w:eastAsia="Arial" w:hAnsi="Georgia" w:cs="Times New Roman"/>
          <w:noProof/>
          <w:lang w:val="en-US"/>
        </w:rPr>
        <w:t>(Chan, 2020)</w:t>
      </w:r>
      <w:r w:rsidR="00300E55">
        <w:rPr>
          <w:rFonts w:ascii="Georgia" w:eastAsia="Arial" w:hAnsi="Georgia" w:cs="Times New Roman"/>
          <w:lang w:val="en-US"/>
        </w:rPr>
        <w:fldChar w:fldCharType="end"/>
      </w:r>
      <w:r w:rsidR="000A3754">
        <w:rPr>
          <w:rFonts w:ascii="Georgia" w:eastAsia="Arial" w:hAnsi="Georgia" w:cs="Times New Roman"/>
          <w:lang w:val="en-US"/>
        </w:rPr>
        <w:t>.</w:t>
      </w:r>
      <w:r w:rsidR="00BA7B6A">
        <w:rPr>
          <w:rFonts w:ascii="Georgia" w:eastAsia="Arial" w:hAnsi="Georgia" w:cs="Times New Roman"/>
          <w:lang w:val="en-US"/>
        </w:rPr>
        <w:t xml:space="preserve"> M</w:t>
      </w:r>
      <w:r w:rsidR="00BA7B6A" w:rsidRPr="00BA7B6A">
        <w:rPr>
          <w:rFonts w:ascii="Georgia" w:eastAsia="Arial" w:hAnsi="Georgia" w:cs="Times New Roman"/>
          <w:lang w:val="en-US"/>
        </w:rPr>
        <w:t xml:space="preserve">odel pembelajaran kooperatif </w:t>
      </w:r>
      <w:r w:rsidR="00E74AEE">
        <w:rPr>
          <w:rFonts w:ascii="Georgia" w:eastAsia="Arial" w:hAnsi="Georgia" w:cs="Times New Roman"/>
          <w:lang w:val="en-US"/>
        </w:rPr>
        <w:t xml:space="preserve">tipe </w:t>
      </w:r>
      <w:r w:rsidR="00BA7B6A">
        <w:rPr>
          <w:rFonts w:ascii="Georgia" w:eastAsia="Arial" w:hAnsi="Georgia" w:cs="Times New Roman"/>
          <w:lang w:val="en-US"/>
        </w:rPr>
        <w:t xml:space="preserve">TGT </w:t>
      </w:r>
      <w:r w:rsidR="00BA7B6A" w:rsidRPr="00BA7B6A">
        <w:rPr>
          <w:rFonts w:ascii="Georgia" w:eastAsia="Arial" w:hAnsi="Georgia" w:cs="Times New Roman"/>
          <w:lang w:val="en-US"/>
        </w:rPr>
        <w:t>m</w:t>
      </w:r>
      <w:r w:rsidR="00BA7B6A">
        <w:rPr>
          <w:rFonts w:ascii="Georgia" w:eastAsia="Arial" w:hAnsi="Georgia" w:cs="Times New Roman"/>
          <w:lang w:val="en-US"/>
        </w:rPr>
        <w:t xml:space="preserve">emungkinkan </w:t>
      </w:r>
      <w:r w:rsidR="00BA7B6A" w:rsidRPr="00BA7B6A">
        <w:rPr>
          <w:rFonts w:ascii="Georgia" w:eastAsia="Arial" w:hAnsi="Georgia" w:cs="Times New Roman"/>
          <w:lang w:val="en-US"/>
        </w:rPr>
        <w:t xml:space="preserve">siswa berkemampuan </w:t>
      </w:r>
      <w:r w:rsidR="00BA7B6A">
        <w:rPr>
          <w:rFonts w:ascii="Georgia" w:eastAsia="Arial" w:hAnsi="Georgia" w:cs="Times New Roman"/>
          <w:lang w:val="en-US"/>
        </w:rPr>
        <w:t xml:space="preserve">kognitif </w:t>
      </w:r>
      <w:r w:rsidR="00BA7B6A" w:rsidRPr="00BA7B6A">
        <w:rPr>
          <w:rFonts w:ascii="Georgia" w:eastAsia="Arial" w:hAnsi="Georgia" w:cs="Times New Roman"/>
          <w:lang w:val="en-US"/>
        </w:rPr>
        <w:t xml:space="preserve">tinggi dan rendah saling membantu dan memotivasi untuk meningkatkan </w:t>
      </w:r>
      <w:r w:rsidR="00BA7B6A">
        <w:rPr>
          <w:rFonts w:ascii="Georgia" w:eastAsia="Arial" w:hAnsi="Georgia" w:cs="Times New Roman"/>
          <w:lang w:val="en-US"/>
        </w:rPr>
        <w:t>hasil belajar kognitif siswa</w:t>
      </w:r>
      <w:r w:rsidR="00E74AEE">
        <w:rPr>
          <w:rFonts w:ascii="Georgia" w:eastAsia="Arial" w:hAnsi="Georgia" w:cs="Times New Roman"/>
          <w:lang w:val="en-US"/>
        </w:rPr>
        <w:t xml:space="preserve"> </w:t>
      </w:r>
      <w:r w:rsidR="00E74AEE">
        <w:rPr>
          <w:rFonts w:ascii="Georgia" w:eastAsia="Arial" w:hAnsi="Georgia" w:cs="Times New Roman"/>
          <w:lang w:val="en-US"/>
        </w:rPr>
        <w:fldChar w:fldCharType="begin" w:fldLock="1"/>
      </w:r>
      <w:r w:rsidR="00763C7D">
        <w:rPr>
          <w:rFonts w:ascii="Georgia" w:eastAsia="Arial" w:hAnsi="Georgia" w:cs="Times New Roman"/>
          <w:lang w:val="en-US"/>
        </w:rPr>
        <w:instrText>ADDIN CSL_CITATION {"citationItems":[{"id":"ITEM-1","itemData":{"DOI":"10.1039/c2rp90004a","ISSN":"11094028","abstract":"This study focused on investigating the effectiveness of jigsaw cooperative learning instruction on first-year undergraduates' understanding of acid-base theories.Undergraduates' opinions about jigsaw cooperative learning instruction were also investigated. The participants of this study were 38 first-year undergraduates in chemistry education department in an education faculty in Izmir, Turkey. A prerequisite knowledge test was applied to both experimental (N = 18) and control groups (N = 20) before the treatment in order to identify undergraduates' prerequisite knowledge about 'acids and bases'. Independent t-test was conducted to compare the prerequisite knowledge test scores for groups and no significant difference was found in terms of mean scores (t = 0.42, p &gt; 0.05). The subject of \"Acid-Base Theories\" (Arrhenius, Brønsted-Lowry and Lewis Theories) was taught using jigsaw cooperative learning in the experimental group and with regular teacher-centered approach in the control group. After the instruction, the acid-base theories concept test was administrated to investigate undergraduates' conceptual understanding. Independent t-test results showed significant difference in terms of mean scores (t = 4.65, p &lt; 0.05).The results also indicated that undergraduates in the experimental group had fewer misconceptions and understood the concepts more meaningfully than undergraduates in the control group. In addition, individual interviews reflected that undergraduates had positive opinion about jigsaw, and they believed jigsaw is an effective cooperative learning technique that promotes positive attitudes and interest, develop inter personal skills as well as their learning achievements. © The Royal Society of Chemistry.","author":[{"dropping-particle":"","family":"Tarhan","given":"Leman","non-dropping-particle":"","parse-names":false,"suffix":""},{"dropping-particle":"","family":"Acar Sesen","given":"Burcin","non-dropping-particle":"","parse-names":false,"suffix":""}],"container-title":"Chemistry Education Research and Practice","id":"ITEM-1","issue":"3","issued":{"date-parts":[["2012"]]},"page":"307-313","title":"Jigsaw cooperative learning: Acid-base theories","type":"article-journal","volume":"13"},"uris":["http://www.mendeley.com/documents/?uuid=1fd893f4-026b-40df-8c61-353fcdae0a55"]}],"mendeley":{"formattedCitation":"(Tarhan &amp; Acar Sesen, 2012)","plainTextFormattedCitation":"(Tarhan &amp; Acar Sesen, 2012)","previouslyFormattedCitation":"(Tarhan &amp; Acar Sesen, 2012)"},"properties":{"noteIndex":0},"schema":"https://github.com/citation-style-language/schema/raw/master/csl-citation.json"}</w:instrText>
      </w:r>
      <w:r w:rsidR="00E74AEE">
        <w:rPr>
          <w:rFonts w:ascii="Georgia" w:eastAsia="Arial" w:hAnsi="Georgia" w:cs="Times New Roman"/>
          <w:lang w:val="en-US"/>
        </w:rPr>
        <w:fldChar w:fldCharType="separate"/>
      </w:r>
      <w:r w:rsidR="00E74AEE" w:rsidRPr="00E74AEE">
        <w:rPr>
          <w:rFonts w:ascii="Georgia" w:eastAsia="Arial" w:hAnsi="Georgia" w:cs="Times New Roman"/>
          <w:noProof/>
          <w:lang w:val="en-US"/>
        </w:rPr>
        <w:t>(Tarhan &amp; Acar Sesen, 2012)</w:t>
      </w:r>
      <w:r w:rsidR="00E74AEE">
        <w:rPr>
          <w:rFonts w:ascii="Georgia" w:eastAsia="Arial" w:hAnsi="Georgia" w:cs="Times New Roman"/>
          <w:lang w:val="en-US"/>
        </w:rPr>
        <w:fldChar w:fldCharType="end"/>
      </w:r>
      <w:r w:rsidR="00BA7B6A" w:rsidRPr="00BA7B6A">
        <w:rPr>
          <w:rFonts w:ascii="Georgia" w:eastAsia="Arial" w:hAnsi="Georgia" w:cs="Times New Roman"/>
          <w:lang w:val="en-US"/>
        </w:rPr>
        <w:t>.</w:t>
      </w:r>
      <w:r w:rsidR="00BA7B6A">
        <w:rPr>
          <w:rFonts w:ascii="Georgia" w:eastAsia="Arial" w:hAnsi="Georgia" w:cs="Times New Roman"/>
          <w:lang w:val="en-US"/>
        </w:rPr>
        <w:t xml:space="preserve"> </w:t>
      </w:r>
      <w:r w:rsidR="00991E90" w:rsidRPr="00991E90">
        <w:rPr>
          <w:rFonts w:ascii="Georgia" w:eastAsia="Arial" w:hAnsi="Georgia" w:cs="Times New Roman"/>
          <w:lang w:val="en-US"/>
        </w:rPr>
        <w:t>Ada banyak bentuk pembelajaran kooperatif yang berbeda</w:t>
      </w:r>
      <w:r w:rsidR="00991E90">
        <w:rPr>
          <w:rFonts w:ascii="Georgia" w:eastAsia="Arial" w:hAnsi="Georgia" w:cs="Times New Roman"/>
          <w:lang w:val="en-US"/>
        </w:rPr>
        <w:t xml:space="preserve">, seperti Teams-Games-Turnament </w:t>
      </w:r>
      <w:r w:rsidR="00991E90" w:rsidRPr="00991E90">
        <w:rPr>
          <w:rFonts w:ascii="Georgia" w:eastAsia="Arial" w:hAnsi="Georgia" w:cs="Times New Roman"/>
          <w:lang w:val="en-US"/>
        </w:rPr>
        <w:t>(TGT), Jigsaw, Cooperative Integrated Reading and Comp</w:t>
      </w:r>
      <w:r w:rsidR="00991E90">
        <w:rPr>
          <w:rFonts w:ascii="Georgia" w:eastAsia="Arial" w:hAnsi="Georgia" w:cs="Times New Roman"/>
          <w:lang w:val="en-US"/>
        </w:rPr>
        <w:t xml:space="preserve">osition (CIRC), </w:t>
      </w:r>
      <w:r w:rsidR="00991E90" w:rsidRPr="00991E90">
        <w:rPr>
          <w:rFonts w:ascii="Georgia" w:hAnsi="Georgia" w:cs="AdvTT3713a231"/>
          <w:color w:val="141314"/>
          <w:lang w:val="en-US"/>
        </w:rPr>
        <w:t>Learning Together</w:t>
      </w:r>
      <w:r w:rsidR="00991E90" w:rsidRPr="00991E90">
        <w:rPr>
          <w:rFonts w:ascii="Georgia" w:eastAsia="Arial" w:hAnsi="Georgia" w:cs="Times New Roman"/>
          <w:lang w:val="en-US"/>
        </w:rPr>
        <w:t xml:space="preserve"> (LT), Student Teams-Achievement Divisions (STAD), </w:t>
      </w:r>
      <w:r w:rsidR="00991E90">
        <w:rPr>
          <w:rFonts w:ascii="Georgia" w:eastAsia="Arial" w:hAnsi="Georgia" w:cs="Times New Roman"/>
          <w:lang w:val="en-US"/>
        </w:rPr>
        <w:t xml:space="preserve">Team </w:t>
      </w:r>
      <w:r w:rsidR="00991E90">
        <w:rPr>
          <w:rFonts w:ascii="Georgia" w:eastAsia="Arial" w:hAnsi="Georgia" w:cs="Times New Roman"/>
          <w:lang w:val="en-US"/>
        </w:rPr>
        <w:lastRenderedPageBreak/>
        <w:t xml:space="preserve">Assisted Individualization </w:t>
      </w:r>
      <w:r w:rsidR="00991E90" w:rsidRPr="00991E90">
        <w:rPr>
          <w:rFonts w:ascii="Georgia" w:eastAsia="Arial" w:hAnsi="Georgia" w:cs="Times New Roman"/>
          <w:lang w:val="en-US"/>
        </w:rPr>
        <w:t>(TAI), Academic Controversy (AC)</w:t>
      </w:r>
      <w:r w:rsidR="00991E90">
        <w:rPr>
          <w:rFonts w:ascii="Georgia" w:eastAsia="Arial" w:hAnsi="Georgia" w:cs="Times New Roman"/>
          <w:lang w:val="en-US"/>
        </w:rPr>
        <w:t xml:space="preserve">, Group Investigation (GI), dll (Kagan, 1992). </w:t>
      </w:r>
      <w:r w:rsidR="00991E90" w:rsidRPr="00991E90">
        <w:rPr>
          <w:rFonts w:ascii="Georgia" w:eastAsia="Arial" w:hAnsi="Georgia" w:cs="Times New Roman"/>
          <w:lang w:val="en-US"/>
        </w:rPr>
        <w:t>Gagasan yang mendasari semua metode pembelajara</w:t>
      </w:r>
      <w:r w:rsidR="00991E90">
        <w:rPr>
          <w:rFonts w:ascii="Georgia" w:eastAsia="Arial" w:hAnsi="Georgia" w:cs="Times New Roman"/>
          <w:lang w:val="en-US"/>
        </w:rPr>
        <w:t xml:space="preserve">n kooperatif adalah bahwa siswa </w:t>
      </w:r>
      <w:r w:rsidR="00991E90" w:rsidRPr="00991E90">
        <w:rPr>
          <w:rFonts w:ascii="Georgia" w:eastAsia="Arial" w:hAnsi="Georgia" w:cs="Times New Roman"/>
          <w:lang w:val="en-US"/>
        </w:rPr>
        <w:t xml:space="preserve">bekerja sama untuk belajar dan bertanggung jawab atas </w:t>
      </w:r>
      <w:r w:rsidR="00991E90">
        <w:rPr>
          <w:rFonts w:ascii="Georgia" w:eastAsia="Arial" w:hAnsi="Georgia" w:cs="Times New Roman"/>
          <w:lang w:val="en-US"/>
        </w:rPr>
        <w:t xml:space="preserve">atas kelompoknya </w:t>
      </w:r>
      <w:r w:rsidR="00991E90" w:rsidRPr="00991E90">
        <w:rPr>
          <w:rFonts w:ascii="Georgia" w:eastAsia="Arial" w:hAnsi="Georgia" w:cs="Times New Roman"/>
          <w:lang w:val="en-US"/>
        </w:rPr>
        <w:t>serta pembelajaran mereka sendiri</w:t>
      </w:r>
      <w:r w:rsidR="00763C7D">
        <w:rPr>
          <w:rFonts w:ascii="Georgia" w:eastAsia="Arial" w:hAnsi="Georgia" w:cs="Times New Roman"/>
          <w:lang w:val="en-US"/>
        </w:rPr>
        <w:t xml:space="preserve"> </w:t>
      </w:r>
      <w:r w:rsidR="00763C7D">
        <w:rPr>
          <w:rFonts w:ascii="Georgia" w:eastAsia="Arial" w:hAnsi="Georgia" w:cs="Times New Roman"/>
          <w:lang w:val="en-US"/>
        </w:rPr>
        <w:fldChar w:fldCharType="begin" w:fldLock="1"/>
      </w:r>
      <w:r w:rsidR="00A25076">
        <w:rPr>
          <w:rFonts w:ascii="Georgia" w:eastAsia="Arial" w:hAnsi="Georgia" w:cs="Times New Roman"/>
          <w:lang w:val="en-US"/>
        </w:rPr>
        <w:instrText>ADDIN CSL_CITATION {"citationItems":[{"id":"ITEM-1","itemData":{"DOI":"10.4000/educationdidactique.334","ISBN":"9782753516182","ISSN":"1956-3485","abstract":"This article argues that educational practice and policy should be based on evidence from rigorous experiments. Examples of cooperative learning and Success For All are given to illustrate how proven programs have been evaluated and broadly disseminated. Policy initiatives in the U.S. to promote use of proven programs are described. Evidence-based reform is possible in education, but it demands strong research and clear guidance for educators.","author":[{"dropping-particle":"","family":"Slavin","given":"Robert E.","non-dropping-particle":"","parse-names":false,"suffix":""}],"container-title":"Éducation Et Didactique","id":"ITEM-1","issue":"2-2","issued":{"date-parts":[["2008"]]},"page":"149-157","title":"Cooperative Learning, Success for All, and Evidence-based Reform in education","type":"article-journal"},"uris":["http://www.mendeley.com/documents/?uuid=d53e7051-1d86-44c3-95f3-ea5cf8ec89cb"]}],"mendeley":{"formattedCitation":"(Slavin, 2008)","manualFormatting":"(Slavin, 2008","plainTextFormattedCitation":"(Slavin, 2008)","previouslyFormattedCitation":"(Slavin, 2008)"},"properties":{"noteIndex":0},"schema":"https://github.com/citation-style-language/schema/raw/master/csl-citation.json"}</w:instrText>
      </w:r>
      <w:r w:rsidR="00763C7D">
        <w:rPr>
          <w:rFonts w:ascii="Georgia" w:eastAsia="Arial" w:hAnsi="Georgia" w:cs="Times New Roman"/>
          <w:lang w:val="en-US"/>
        </w:rPr>
        <w:fldChar w:fldCharType="separate"/>
      </w:r>
      <w:r w:rsidR="00763C7D" w:rsidRPr="00763C7D">
        <w:rPr>
          <w:rFonts w:ascii="Georgia" w:eastAsia="Arial" w:hAnsi="Georgia" w:cs="Times New Roman"/>
          <w:noProof/>
          <w:lang w:val="en-US"/>
        </w:rPr>
        <w:t>(Slavin, 2008</w:t>
      </w:r>
      <w:r w:rsidR="00763C7D">
        <w:rPr>
          <w:rFonts w:ascii="Georgia" w:eastAsia="Arial" w:hAnsi="Georgia" w:cs="Times New Roman"/>
          <w:lang w:val="en-US"/>
        </w:rPr>
        <w:fldChar w:fldCharType="end"/>
      </w:r>
      <w:r w:rsidR="00763C7D">
        <w:rPr>
          <w:rFonts w:ascii="Georgia" w:eastAsia="Arial" w:hAnsi="Georgia" w:cs="Times New Roman"/>
          <w:lang w:val="en-US"/>
        </w:rPr>
        <w:t xml:space="preserve">; </w:t>
      </w:r>
      <w:r w:rsidR="00763C7D">
        <w:rPr>
          <w:rFonts w:ascii="Georgia" w:eastAsia="Arial" w:hAnsi="Georgia" w:cs="Times New Roman"/>
          <w:lang w:val="en-US"/>
        </w:rPr>
        <w:fldChar w:fldCharType="begin" w:fldLock="1"/>
      </w:r>
      <w:r w:rsidR="00A25076">
        <w:rPr>
          <w:rFonts w:ascii="Georgia" w:eastAsia="Arial" w:hAnsi="Georgia" w:cs="Times New Roman"/>
          <w:lang w:val="en-US"/>
        </w:rPr>
        <w:instrText>ADDIN CSL_CITATION {"citationItems":[{"id":"ITEM-1","itemData":{"DOI":"10.6018/analesps.30.3.201201","ISSN":"0212-9728","abstract":"Título: Aprendizaje Cooperativo y rendimiento académico: ¿Por qué fun-ciona el trabajo grupal? Resumen: El aprendizaje cooperativo hace referencia a los métodos de enseñanza en los que los estudiantes trabajan en pequeños grupos para ayudarse a aprender. En este artículo se revisan cuatro de las principales perspectivas teóricas sobre los efectos del aprendizaje cooperativo en el rendimiento: motivacional, cohesión social, evolutiva y elaboración cogniti-va. La evidencia de la investigación práctica en el aula apoya, fundamental-mente, la perspectiva motivacional, que destaca el uso de los objetivos del grupo y la responsabilidad individual para el éxito del grupo. Sin embargo, hay condiciones en las que los métodos, derivados de las cuatro perspecti-vas teóricas, contribuyen al aumento del rendimiento. En este artículo se reconcilian estas cuatro perspectivas en una teoría unificada de los efectos de aprendizaje cooperativo. Palabras clave: Aprendizaje cooperativo; rendimiento; cooperación; moti-vación, desarrollo Abstract: Cooperative learning refers to instructional methods in which students work in small groups to help each other learn. Four major theo-retical perspectives on achievement effects of cooperative learning are re-viewed: Motivational, social cohesion, developmental, and cognitive elabo-ration. Evidence from practical classroom research primarily supports the motivational perspective, which emphasizes the use of group goals and in-dividual accountability for group success. However, there are conditions under which methods derived from all four theoretical perspectives con-tribute to achievement gain. This chapter reconciles these perspectives in a unified theory of cooperative learning effects.","author":[{"dropping-particle":"","family":"Slavin","given":"Robert E.","non-dropping-particle":"","parse-names":false,"suffix":""}],"container-title":"Cooperative learning and academic achievement: Why does groupwork work?","id":"ITEM-1","issue":"3","issued":{"date-parts":[["2014"]]},"page":"785-791","title":"Cooperative learning and academic achievement: Why does groupwork work?","type":"article-journal","volume":"30"},"uris":["http://www.mendeley.com/documents/?uuid=361e55f1-b396-40f6-ba03-5fba1be29fdc"]}],"mendeley":{"formattedCitation":"(Slavin, 2014)","manualFormatting":"Slavin, 2014)","plainTextFormattedCitation":"(Slavin, 2014)","previouslyFormattedCitation":"(Slavin, 2014)"},"properties":{"noteIndex":0},"schema":"https://github.com/citation-style-language/schema/raw/master/csl-citation.json"}</w:instrText>
      </w:r>
      <w:r w:rsidR="00763C7D">
        <w:rPr>
          <w:rFonts w:ascii="Georgia" w:eastAsia="Arial" w:hAnsi="Georgia" w:cs="Times New Roman"/>
          <w:lang w:val="en-US"/>
        </w:rPr>
        <w:fldChar w:fldCharType="separate"/>
      </w:r>
      <w:r w:rsidR="00763C7D" w:rsidRPr="00763C7D">
        <w:rPr>
          <w:rFonts w:ascii="Georgia" w:eastAsia="Arial" w:hAnsi="Georgia" w:cs="Times New Roman"/>
          <w:noProof/>
          <w:lang w:val="en-US"/>
        </w:rPr>
        <w:t>Slavin, 2014)</w:t>
      </w:r>
      <w:r w:rsidR="00763C7D">
        <w:rPr>
          <w:rFonts w:ascii="Georgia" w:eastAsia="Arial" w:hAnsi="Georgia" w:cs="Times New Roman"/>
          <w:lang w:val="en-US"/>
        </w:rPr>
        <w:fldChar w:fldCharType="end"/>
      </w:r>
      <w:r w:rsidR="00991E90">
        <w:rPr>
          <w:rFonts w:ascii="Georgia" w:eastAsia="Arial" w:hAnsi="Georgia" w:cs="Times New Roman"/>
          <w:lang w:val="en-US"/>
        </w:rPr>
        <w:t>.</w:t>
      </w:r>
    </w:p>
    <w:p w14:paraId="01E84935" w14:textId="616A3DD5" w:rsidR="00821460" w:rsidRPr="00E50E5A" w:rsidRDefault="00DC0215" w:rsidP="009E125C">
      <w:pPr>
        <w:spacing w:after="0" w:line="240" w:lineRule="auto"/>
        <w:ind w:firstLine="284"/>
        <w:jc w:val="both"/>
        <w:rPr>
          <w:rFonts w:ascii="Georgia" w:eastAsia="Arial" w:hAnsi="Georgia" w:cs="Times New Roman"/>
          <w:lang w:val="en-US"/>
        </w:rPr>
      </w:pPr>
      <w:proofErr w:type="gramStart"/>
      <w:r>
        <w:rPr>
          <w:rFonts w:ascii="Georgia" w:eastAsia="Arial" w:hAnsi="Georgia" w:cs="Times New Roman"/>
          <w:lang w:val="en-US"/>
        </w:rPr>
        <w:t>Salah satu topik yang direkomendasikan</w:t>
      </w:r>
      <w:r w:rsidR="009E125C">
        <w:rPr>
          <w:rFonts w:ascii="Georgia" w:eastAsia="Arial" w:hAnsi="Georgia" w:cs="Times New Roman"/>
          <w:lang w:val="en-US"/>
        </w:rPr>
        <w:t xml:space="preserve"> dalam </w:t>
      </w:r>
      <w:r w:rsidR="00C10B2A">
        <w:rPr>
          <w:rFonts w:ascii="Georgia" w:eastAsia="Arial" w:hAnsi="Georgia" w:cs="Times New Roman"/>
          <w:lang w:val="en-US"/>
        </w:rPr>
        <w:t xml:space="preserve">penelitian ini </w:t>
      </w:r>
      <w:r>
        <w:rPr>
          <w:rFonts w:ascii="Georgia" w:eastAsia="Arial" w:hAnsi="Georgia" w:cs="Times New Roman"/>
          <w:lang w:val="en-US"/>
        </w:rPr>
        <w:t>adal</w:t>
      </w:r>
      <w:r w:rsidR="00387EBE">
        <w:rPr>
          <w:rFonts w:ascii="Georgia" w:eastAsia="Arial" w:hAnsi="Georgia" w:cs="Times New Roman"/>
          <w:lang w:val="en-US"/>
        </w:rPr>
        <w:t>a</w:t>
      </w:r>
      <w:r>
        <w:rPr>
          <w:rFonts w:ascii="Georgia" w:eastAsia="Arial" w:hAnsi="Georgia" w:cs="Times New Roman"/>
          <w:lang w:val="en-US"/>
        </w:rPr>
        <w:t>h lari estafet.</w:t>
      </w:r>
      <w:proofErr w:type="gramEnd"/>
      <w:r>
        <w:rPr>
          <w:rFonts w:ascii="Georgia" w:eastAsia="Arial" w:hAnsi="Georgia" w:cs="Times New Roman"/>
          <w:lang w:val="en-US"/>
        </w:rPr>
        <w:t xml:space="preserve"> </w:t>
      </w:r>
      <w:proofErr w:type="gramStart"/>
      <w:r>
        <w:rPr>
          <w:rFonts w:ascii="Georgia" w:eastAsia="Arial" w:hAnsi="Georgia" w:cs="Times New Roman"/>
          <w:lang w:val="en-US"/>
        </w:rPr>
        <w:t>P</w:t>
      </w:r>
      <w:r w:rsidRPr="00DC0215">
        <w:rPr>
          <w:rFonts w:ascii="Georgia" w:eastAsia="Arial" w:hAnsi="Georgia" w:cs="Times New Roman"/>
          <w:lang w:val="en-US"/>
        </w:rPr>
        <w:t>ermainan</w:t>
      </w:r>
      <w:r>
        <w:rPr>
          <w:rFonts w:ascii="Georgia" w:eastAsia="Arial" w:hAnsi="Georgia" w:cs="Times New Roman"/>
          <w:lang w:val="en-US"/>
        </w:rPr>
        <w:t xml:space="preserve"> ini</w:t>
      </w:r>
      <w:r w:rsidRPr="00DC0215">
        <w:rPr>
          <w:rFonts w:ascii="Georgia" w:eastAsia="Arial" w:hAnsi="Georgia" w:cs="Times New Roman"/>
          <w:lang w:val="en-US"/>
        </w:rPr>
        <w:t>, siswa harus berm</w:t>
      </w:r>
      <w:r>
        <w:rPr>
          <w:rFonts w:ascii="Georgia" w:eastAsia="Arial" w:hAnsi="Georgia" w:cs="Times New Roman"/>
          <w:lang w:val="en-US"/>
        </w:rPr>
        <w:t>ain bersama dalam kelompok dan berusaha untuk</w:t>
      </w:r>
      <w:r w:rsidRPr="00DC0215">
        <w:rPr>
          <w:rFonts w:ascii="Georgia" w:eastAsia="Arial" w:hAnsi="Georgia" w:cs="Times New Roman"/>
          <w:lang w:val="en-US"/>
        </w:rPr>
        <w:t xml:space="preserve"> memenangkan permainan.</w:t>
      </w:r>
      <w:proofErr w:type="gramEnd"/>
      <w:r>
        <w:rPr>
          <w:rFonts w:ascii="Georgia" w:eastAsia="Arial" w:hAnsi="Georgia" w:cs="Times New Roman"/>
          <w:lang w:val="en-US"/>
        </w:rPr>
        <w:t xml:space="preserve"> P</w:t>
      </w:r>
      <w:r w:rsidRPr="00DC0215">
        <w:rPr>
          <w:rFonts w:ascii="Georgia" w:eastAsia="Arial" w:hAnsi="Georgia" w:cs="Times New Roman"/>
          <w:lang w:val="en-US"/>
        </w:rPr>
        <w:t>ermainan ini dimainkan</w:t>
      </w:r>
      <w:r>
        <w:rPr>
          <w:rFonts w:ascii="Georgia" w:eastAsia="Arial" w:hAnsi="Georgia" w:cs="Times New Roman"/>
          <w:lang w:val="en-US"/>
        </w:rPr>
        <w:t xml:space="preserve"> secara tim, setiap siswa harus </w:t>
      </w:r>
      <w:r w:rsidRPr="00DC0215">
        <w:rPr>
          <w:rFonts w:ascii="Georgia" w:eastAsia="Arial" w:hAnsi="Georgia" w:cs="Times New Roman"/>
          <w:lang w:val="en-US"/>
        </w:rPr>
        <w:t>bertanggung ja</w:t>
      </w:r>
      <w:r>
        <w:rPr>
          <w:rFonts w:ascii="Georgia" w:eastAsia="Arial" w:hAnsi="Georgia" w:cs="Times New Roman"/>
          <w:lang w:val="en-US"/>
        </w:rPr>
        <w:t>wab dalam mengerjakan bagiannya</w:t>
      </w:r>
      <w:r w:rsidR="00C7214D">
        <w:rPr>
          <w:rFonts w:ascii="Georgia" w:eastAsia="Arial" w:hAnsi="Georgia" w:cs="Times New Roman"/>
          <w:lang w:val="en-US"/>
        </w:rPr>
        <w:t xml:space="preserve"> </w:t>
      </w:r>
      <w:r w:rsidR="00C7214D">
        <w:rPr>
          <w:rFonts w:ascii="Georgia" w:eastAsia="Arial" w:hAnsi="Georgia" w:cs="Times New Roman"/>
          <w:lang w:val="en-US"/>
        </w:rPr>
        <w:fldChar w:fldCharType="begin" w:fldLock="1"/>
      </w:r>
      <w:r w:rsidR="00E44C2E">
        <w:rPr>
          <w:rFonts w:ascii="Georgia" w:eastAsia="Arial" w:hAnsi="Georgia" w:cs="Times New Roman"/>
          <w:lang w:val="en-US"/>
        </w:rPr>
        <w:instrText>ADDIN CSL_CITATION {"citationItems":[{"id":"ITEM-1","itemData":{"DOI":"10.1080/02640414.2014.920099","ISSN":"1466447X","PMID":"24857307","abstract":"The purpose of this study was to investigate the association between relay exchange block time and final performance in 4 × 100-m and 4 × 200-m freestyle and 4 × 100-m medley relays as a function of sex (men and women) and classification (medallists and non-medallists) in international competitions. Nineteen international competitions covering a 13-year period (2000-2012) were analysed retrospectively. The data corresponded to a total of 827 team relay histories (407 men, 420 women). Kruskal-Wallis and Mann-Whitney tests were performed to determine any differences by sex, classification, and event. Similarly, the relationship between the exchange block times and final performance was examined by means of a Pearson correlation analysis. In the three events, the men's exchange block times were shorter than those of the women (η(2) = 0.049-0.109; P &lt; 0.001). The exchange block time was especially relevant for the women's relay medallists in the 4 × 100-m freestyle (r = 0.306, P = 0.021) and 4 × 100-m medley (r = 0.385, P = 0.011), while for men the relationship was clearer for the non-medallists. These results suggest that the exchange block time should be considered as one of the performance parameters of swimming relay starts, and thus should be included explicitly as part of training. In particular, the coach could design training targeted at standardising an optimal exchange block time equal to or less than that expected for other teams in the competition.","author":[{"dropping-particle":"","family":"Saavedra","given":"Jose M.","non-dropping-particle":"","parse-names":false,"suffix":""},{"dropping-particle":"","family":"García-Hermoso","given":"Antonio","non-dropping-particle":"","parse-names":false,"suffix":""},{"dropping-particle":"","family":"Escalante","given":"Yolanda","non-dropping-particle":"","parse-names":false,"suffix":""},{"dropping-particle":"","family":"Dominguez","given":"Ana M.","non-dropping-particle":"","parse-names":false,"suffix":""},{"dropping-particle":"","family":"Arellano","given":"Raul","non-dropping-particle":"","parse-names":false,"suffix":""},{"dropping-particle":"","family":"Navarro","given":"Fernando","non-dropping-particle":"","parse-names":false,"suffix":""}],"container-title":"Journal of sports sciences","id":"ITEM-1","issue":"19","issued":{"date-parts":[["2014"]]},"page":"1783-1789","title":"Relationship between exchange block time in swim starts and final performance in relay races in international championships","type":"article-journal","volume":"32"},"uris":["http://www.mendeley.com/documents/?uuid=7eb87091-d443-451f-9000-afbc7ffeb898"]}],"mendeley":{"formattedCitation":"(Saavedra et al., 2014)","plainTextFormattedCitation":"(Saavedra et al., 2014)","previouslyFormattedCitation":"(Saavedra et al., 2014)"},"properties":{"noteIndex":0},"schema":"https://github.com/citation-style-language/schema/raw/master/csl-citation.json"}</w:instrText>
      </w:r>
      <w:r w:rsidR="00C7214D">
        <w:rPr>
          <w:rFonts w:ascii="Georgia" w:eastAsia="Arial" w:hAnsi="Georgia" w:cs="Times New Roman"/>
          <w:lang w:val="en-US"/>
        </w:rPr>
        <w:fldChar w:fldCharType="separate"/>
      </w:r>
      <w:r w:rsidR="00C7214D" w:rsidRPr="00C7214D">
        <w:rPr>
          <w:rFonts w:ascii="Georgia" w:eastAsia="Arial" w:hAnsi="Georgia" w:cs="Times New Roman"/>
          <w:noProof/>
          <w:lang w:val="en-US"/>
        </w:rPr>
        <w:t>(Saavedra et al., 2014)</w:t>
      </w:r>
      <w:r w:rsidR="00C7214D">
        <w:rPr>
          <w:rFonts w:ascii="Georgia" w:eastAsia="Arial" w:hAnsi="Georgia" w:cs="Times New Roman"/>
          <w:lang w:val="en-US"/>
        </w:rPr>
        <w:fldChar w:fldCharType="end"/>
      </w:r>
      <w:r>
        <w:rPr>
          <w:rFonts w:ascii="Georgia" w:eastAsia="Arial" w:hAnsi="Georgia" w:cs="Times New Roman"/>
          <w:lang w:val="en-US"/>
        </w:rPr>
        <w:t xml:space="preserve">. </w:t>
      </w:r>
      <w:r w:rsidRPr="00DC0215">
        <w:rPr>
          <w:rFonts w:ascii="Georgia" w:eastAsia="Arial" w:hAnsi="Georgia" w:cs="Times New Roman"/>
          <w:lang w:val="en-US"/>
        </w:rPr>
        <w:t xml:space="preserve">Oleh karena itu, setiap siswa dalam </w:t>
      </w:r>
      <w:proofErr w:type="gramStart"/>
      <w:r w:rsidRPr="00DC0215">
        <w:rPr>
          <w:rFonts w:ascii="Georgia" w:eastAsia="Arial" w:hAnsi="Georgia" w:cs="Times New Roman"/>
          <w:lang w:val="en-US"/>
        </w:rPr>
        <w:t>tim</w:t>
      </w:r>
      <w:proofErr w:type="gramEnd"/>
      <w:r>
        <w:rPr>
          <w:rFonts w:ascii="Georgia" w:eastAsia="Arial" w:hAnsi="Georgia" w:cs="Times New Roman"/>
          <w:lang w:val="en-US"/>
        </w:rPr>
        <w:t xml:space="preserve"> </w:t>
      </w:r>
      <w:r w:rsidRPr="00DC0215">
        <w:rPr>
          <w:rFonts w:ascii="Georgia" w:eastAsia="Arial" w:hAnsi="Georgia" w:cs="Times New Roman"/>
          <w:lang w:val="en-US"/>
        </w:rPr>
        <w:t xml:space="preserve">harus memiliki strategi </w:t>
      </w:r>
      <w:r>
        <w:rPr>
          <w:rFonts w:ascii="Georgia" w:eastAsia="Arial" w:hAnsi="Georgia" w:cs="Times New Roman"/>
          <w:lang w:val="en-US"/>
        </w:rPr>
        <w:t xml:space="preserve">dan teknik yang baik berupa kecepatan dalam berlari. </w:t>
      </w:r>
      <w:proofErr w:type="gramStart"/>
      <w:r>
        <w:rPr>
          <w:rFonts w:ascii="Georgia" w:eastAsia="Arial" w:hAnsi="Georgia" w:cs="Times New Roman"/>
          <w:lang w:val="en-US"/>
        </w:rPr>
        <w:t xml:space="preserve">Siswa </w:t>
      </w:r>
      <w:r w:rsidRPr="00DC0215">
        <w:rPr>
          <w:rFonts w:ascii="Georgia" w:eastAsia="Arial" w:hAnsi="Georgia" w:cs="Times New Roman"/>
          <w:lang w:val="en-US"/>
        </w:rPr>
        <w:t xml:space="preserve">harus waspada </w:t>
      </w:r>
      <w:r>
        <w:rPr>
          <w:rFonts w:ascii="Georgia" w:eastAsia="Arial" w:hAnsi="Georgia" w:cs="Times New Roman"/>
          <w:lang w:val="en-US"/>
        </w:rPr>
        <w:t xml:space="preserve">mendengar instruksi </w:t>
      </w:r>
      <w:r w:rsidRPr="00DC0215">
        <w:rPr>
          <w:rFonts w:ascii="Georgia" w:eastAsia="Arial" w:hAnsi="Georgia" w:cs="Times New Roman"/>
          <w:lang w:val="en-US"/>
        </w:rPr>
        <w:t>terhadap tanda permainan dimu</w:t>
      </w:r>
      <w:r>
        <w:rPr>
          <w:rFonts w:ascii="Georgia" w:eastAsia="Arial" w:hAnsi="Georgia" w:cs="Times New Roman"/>
          <w:lang w:val="en-US"/>
        </w:rPr>
        <w:t>lai dan gerakan teman-temannya.</w:t>
      </w:r>
      <w:proofErr w:type="gramEnd"/>
      <w:r>
        <w:rPr>
          <w:rFonts w:ascii="Georgia" w:eastAsia="Arial" w:hAnsi="Georgia" w:cs="Times New Roman"/>
          <w:lang w:val="en-US"/>
        </w:rPr>
        <w:t xml:space="preserve"> Lari </w:t>
      </w:r>
      <w:r w:rsidR="009324F7">
        <w:rPr>
          <w:rFonts w:ascii="Georgia" w:eastAsia="Arial" w:hAnsi="Georgia" w:cs="Times New Roman"/>
          <w:lang w:val="en-US"/>
        </w:rPr>
        <w:t>estafet adalah permainan di</w:t>
      </w:r>
      <w:r w:rsidRPr="00DC0215">
        <w:rPr>
          <w:rFonts w:ascii="Georgia" w:eastAsia="Arial" w:hAnsi="Georgia" w:cs="Times New Roman"/>
          <w:lang w:val="en-US"/>
        </w:rPr>
        <w:t xml:space="preserve">mana </w:t>
      </w:r>
      <w:proofErr w:type="gramStart"/>
      <w:r w:rsidRPr="00DC0215">
        <w:rPr>
          <w:rFonts w:ascii="Georgia" w:eastAsia="Arial" w:hAnsi="Georgia" w:cs="Times New Roman"/>
          <w:lang w:val="en-US"/>
        </w:rPr>
        <w:t>tim</w:t>
      </w:r>
      <w:proofErr w:type="gramEnd"/>
      <w:r w:rsidRPr="00DC0215">
        <w:rPr>
          <w:rFonts w:ascii="Georgia" w:eastAsia="Arial" w:hAnsi="Georgia" w:cs="Times New Roman"/>
          <w:lang w:val="en-US"/>
        </w:rPr>
        <w:t xml:space="preserve"> yang setara berlomba untuk mencapai tugas. </w:t>
      </w:r>
      <w:r>
        <w:rPr>
          <w:rFonts w:ascii="Georgia" w:eastAsia="Arial" w:hAnsi="Georgia" w:cs="Times New Roman"/>
          <w:lang w:val="en-US"/>
        </w:rPr>
        <w:t>Lari</w:t>
      </w:r>
      <w:r w:rsidRPr="00DC0215">
        <w:rPr>
          <w:rFonts w:ascii="Georgia" w:eastAsia="Arial" w:hAnsi="Georgia" w:cs="Times New Roman"/>
          <w:lang w:val="en-US"/>
        </w:rPr>
        <w:t xml:space="preserve"> estafet</w:t>
      </w:r>
      <w:r>
        <w:rPr>
          <w:rFonts w:ascii="Georgia" w:eastAsia="Arial" w:hAnsi="Georgia" w:cs="Times New Roman"/>
          <w:lang w:val="en-US"/>
        </w:rPr>
        <w:t xml:space="preserve"> </w:t>
      </w:r>
      <w:r w:rsidRPr="00DC0215">
        <w:rPr>
          <w:rFonts w:ascii="Georgia" w:eastAsia="Arial" w:hAnsi="Georgia" w:cs="Times New Roman"/>
          <w:lang w:val="en-US"/>
        </w:rPr>
        <w:t xml:space="preserve">memberikan kesempatan yang baik bagi </w:t>
      </w:r>
      <w:proofErr w:type="gramStart"/>
      <w:r w:rsidRPr="00DC0215">
        <w:rPr>
          <w:rFonts w:ascii="Georgia" w:eastAsia="Arial" w:hAnsi="Georgia" w:cs="Times New Roman"/>
          <w:lang w:val="en-US"/>
        </w:rPr>
        <w:t>tim</w:t>
      </w:r>
      <w:proofErr w:type="gramEnd"/>
      <w:r w:rsidRPr="00DC0215">
        <w:rPr>
          <w:rFonts w:ascii="Georgia" w:eastAsia="Arial" w:hAnsi="Georgia" w:cs="Times New Roman"/>
          <w:lang w:val="en-US"/>
        </w:rPr>
        <w:t xml:space="preserve"> untuk bersain</w:t>
      </w:r>
      <w:r>
        <w:rPr>
          <w:rFonts w:ascii="Georgia" w:eastAsia="Arial" w:hAnsi="Georgia" w:cs="Times New Roman"/>
          <w:lang w:val="en-US"/>
        </w:rPr>
        <w:t xml:space="preserve">g satu sama lain. </w:t>
      </w:r>
      <w:r w:rsidRPr="00DC0215">
        <w:rPr>
          <w:rFonts w:ascii="Georgia" w:eastAsia="Arial" w:hAnsi="Georgia" w:cs="Times New Roman"/>
          <w:lang w:val="en-US"/>
        </w:rPr>
        <w:t>Perlombaan estafet menggabungk</w:t>
      </w:r>
      <w:r>
        <w:rPr>
          <w:rFonts w:ascii="Georgia" w:eastAsia="Arial" w:hAnsi="Georgia" w:cs="Times New Roman"/>
          <w:lang w:val="en-US"/>
        </w:rPr>
        <w:t xml:space="preserve">an </w:t>
      </w:r>
      <w:r w:rsidRPr="00DC0215">
        <w:rPr>
          <w:rFonts w:ascii="Georgia" w:eastAsia="Arial" w:hAnsi="Georgia" w:cs="Times New Roman"/>
          <w:lang w:val="en-US"/>
        </w:rPr>
        <w:t>kombinasi tugas individu dan tugas ber</w:t>
      </w:r>
      <w:r>
        <w:rPr>
          <w:rFonts w:ascii="Georgia" w:eastAsia="Arial" w:hAnsi="Georgia" w:cs="Times New Roman"/>
          <w:lang w:val="en-US"/>
        </w:rPr>
        <w:t>basis kerja sama tim</w:t>
      </w:r>
      <w:r w:rsidR="00E44C2E">
        <w:rPr>
          <w:rFonts w:ascii="Georgia" w:eastAsia="Arial" w:hAnsi="Georgia" w:cs="Times New Roman"/>
          <w:lang w:val="en-US"/>
        </w:rPr>
        <w:t xml:space="preserve"> </w:t>
      </w:r>
      <w:r w:rsidR="00E44C2E">
        <w:rPr>
          <w:rFonts w:ascii="Georgia" w:eastAsia="Arial" w:hAnsi="Georgia" w:cs="Times New Roman"/>
          <w:lang w:val="en-US"/>
        </w:rPr>
        <w:fldChar w:fldCharType="begin" w:fldLock="1"/>
      </w:r>
      <w:r w:rsidR="00855965">
        <w:rPr>
          <w:rFonts w:ascii="Georgia" w:eastAsia="Arial" w:hAnsi="Georgia" w:cs="Times New Roman"/>
          <w:lang w:val="en-US"/>
        </w:rPr>
        <w:instrText>ADDIN CSL_CITATION {"citationItems":[{"id":"ITEM-1","itemData":{"DOI":"10.3928/01484834-20201020-09","ISSN":"01484834","PMID":"33119778","abstract":"Background: Immersive learning activities, such as escape room educational gaming in nursing simulation laboratories, have proven to be effective teaching strategies that promote communication and teamwork. These activities also provide educators with opportunities to assess clinical skills competencies, as well as providing them with a means for evaluating the transfer of didactic knowledge to clinical practice. Method: An obstetrical skills relay race with an escape room element was created as a formative evaluation method to determine if nursing students were able to demonstrate competency related to the identified learning needs. Results: The competitive aspects of this learning activity were perceived as exciting and motivating by the educators and students. Conclusion: An escape room–themed relay race incorporated into an obstetric skills laboratory is considered an innovative and formative evaluation method, as well as an engaging and motivating learning activity for nursing students.","author":[{"dropping-particle":"","family":"Darby","given":"Wendy","non-dropping-particle":"","parse-names":false,"suffix":""},{"dropping-particle":"","family":"Bergeron","given":"Peggy","non-dropping-particle":"","parse-names":false,"suffix":""},{"dropping-particle":"","family":"Brown","given":"Neysa","non-dropping-particle":"","parse-names":false,"suffix":""},{"dropping-particle":"","family":"DeFoor","given":"Melissa","non-dropping-particle":"","parse-names":false,"suffix":""},{"dropping-particle":"","family":"Jones","given":"Brittney","non-dropping-particle":"","parse-names":false,"suffix":""}],"container-title":"Journal of Nursing Education","id":"ITEM-1","issue":"11","issued":{"date-parts":[["2020"]]},"page":"646-650","title":"Escape room relay race: “Go for the gold” in formative assessment","type":"article-journal","volume":"59"},"uris":["http://www.mendeley.com/documents/?uuid=6d5efc63-5be8-4cae-8c7c-2bcd943d85d4"]}],"mendeley":{"formattedCitation":"(Darby et al., 2020)","plainTextFormattedCitation":"(Darby et al., 2020)","previouslyFormattedCitation":"(Darby et al., 2020)"},"properties":{"noteIndex":0},"schema":"https://github.com/citation-style-language/schema/raw/master/csl-citation.json"}</w:instrText>
      </w:r>
      <w:r w:rsidR="00E44C2E">
        <w:rPr>
          <w:rFonts w:ascii="Georgia" w:eastAsia="Arial" w:hAnsi="Georgia" w:cs="Times New Roman"/>
          <w:lang w:val="en-US"/>
        </w:rPr>
        <w:fldChar w:fldCharType="separate"/>
      </w:r>
      <w:r w:rsidR="00E44C2E" w:rsidRPr="00E44C2E">
        <w:rPr>
          <w:rFonts w:ascii="Georgia" w:eastAsia="Arial" w:hAnsi="Georgia" w:cs="Times New Roman"/>
          <w:noProof/>
          <w:lang w:val="en-US"/>
        </w:rPr>
        <w:t>(Darby et al., 2020)</w:t>
      </w:r>
      <w:r w:rsidR="00E44C2E">
        <w:rPr>
          <w:rFonts w:ascii="Georgia" w:eastAsia="Arial" w:hAnsi="Georgia" w:cs="Times New Roman"/>
          <w:lang w:val="en-US"/>
        </w:rPr>
        <w:fldChar w:fldCharType="end"/>
      </w:r>
      <w:r>
        <w:rPr>
          <w:rFonts w:ascii="Georgia" w:eastAsia="Arial" w:hAnsi="Georgia" w:cs="Times New Roman"/>
          <w:lang w:val="en-US"/>
        </w:rPr>
        <w:t xml:space="preserve">. Cara ini, </w:t>
      </w:r>
      <w:r w:rsidRPr="00DC0215">
        <w:rPr>
          <w:rFonts w:ascii="Georgia" w:eastAsia="Arial" w:hAnsi="Georgia" w:cs="Times New Roman"/>
          <w:lang w:val="en-US"/>
        </w:rPr>
        <w:t>siswa dapat bekerja</w:t>
      </w:r>
      <w:r>
        <w:rPr>
          <w:rFonts w:ascii="Georgia" w:eastAsia="Arial" w:hAnsi="Georgia" w:cs="Times New Roman"/>
          <w:lang w:val="en-US"/>
        </w:rPr>
        <w:t xml:space="preserve"> sama dan saling membantu</w:t>
      </w:r>
      <w:r w:rsidRPr="00DC0215">
        <w:rPr>
          <w:rFonts w:ascii="Georgia" w:eastAsia="Arial" w:hAnsi="Georgia" w:cs="Times New Roman"/>
          <w:lang w:val="en-US"/>
        </w:rPr>
        <w:t>, tetapi masih memungkinkan individu untuk melatih keterampilan mereka dan apa yang mereka miliki</w:t>
      </w:r>
      <w:r>
        <w:rPr>
          <w:rFonts w:ascii="Georgia" w:eastAsia="Arial" w:hAnsi="Georgia" w:cs="Times New Roman"/>
          <w:lang w:val="en-US"/>
        </w:rPr>
        <w:t xml:space="preserve"> </w:t>
      </w:r>
      <w:r w:rsidRPr="00DC0215">
        <w:rPr>
          <w:rFonts w:ascii="Georgia" w:eastAsia="Arial" w:hAnsi="Georgia" w:cs="Times New Roman"/>
          <w:lang w:val="en-US"/>
        </w:rPr>
        <w:t>dipelajari tanpa selalu bergantung pada bantuan orang l</w:t>
      </w:r>
      <w:r>
        <w:rPr>
          <w:rFonts w:ascii="Georgia" w:eastAsia="Arial" w:hAnsi="Georgia" w:cs="Times New Roman"/>
          <w:lang w:val="en-US"/>
        </w:rPr>
        <w:t>ain</w:t>
      </w:r>
      <w:r w:rsidR="00491ED4">
        <w:rPr>
          <w:rFonts w:ascii="Georgia" w:eastAsia="Arial" w:hAnsi="Georgia" w:cs="Times New Roman"/>
          <w:lang w:val="en-US"/>
        </w:rPr>
        <w:t xml:space="preserve"> </w:t>
      </w:r>
      <w:r w:rsidR="00491ED4">
        <w:rPr>
          <w:rFonts w:ascii="Georgia" w:eastAsia="Arial" w:hAnsi="Georgia" w:cs="Times New Roman"/>
          <w:lang w:val="en-US"/>
        </w:rPr>
        <w:fldChar w:fldCharType="begin" w:fldLock="1"/>
      </w:r>
      <w:r w:rsidR="00BA27F0">
        <w:rPr>
          <w:rFonts w:ascii="Georgia" w:eastAsia="Arial" w:hAnsi="Georgia" w:cs="Times New Roman"/>
          <w:lang w:val="en-US"/>
        </w:rPr>
        <w:instrText>ADDIN CSL_CITATION {"citationItems":[{"id":"ITEM-1","itemData":{"DOI":"10.1037/apl0000245","ISSN":"00219010","PMID":"28749151","abstract":"While people's willingness to work hard can be reduced in teams (i.e., effort losses in teams as compared with individual work), it is less recognized that teamwork can also stimulate additional efforts (i.e., effort gains). Building on and extending existing theory, we (a) suggest an integration of these two research streams, and (b) provide evidence for team-related effort gains in action teams. In a first study, we tested our predictions by reanalyzing a field data set of 302,576 swimming performances in individual and relay races (Neugart &amp; Richiardi, 2013). Consistent with our hypotheses, we observed a linear increase in effort across the relay. The first relay swimmers showed effort losses in the relay as compared with the individual competition whereas the remaining relay swimmers showed effort gains. However, this was only evident (a) when team members could realistically expect meaningful team outcomes in return for their performance, and (b) when the valence of these outcomes was equivalent to individual competitions. If such favorable conditions were not given, we found effort losses in team as compared with individual competitions at all relay positions. Results of a second study (N = 228) showed that the linear increase in effort across the relay was indeed attributable to the team members' serial position and not to their relative strength. Together, the studies demonstrate the motivating potential of teamwork even in the high performance contexts of action teams, such as competitive sports relays, where athletes are already highly motivated in their individual competitions.","author":[{"dropping-particle":"","family":"Hüffmeier","given":"Joachim","non-dropping-particle":"","parse-names":false,"suffix":""},{"dropping-particle":"","family":"Filusch","given":"Michael","non-dropping-particle":"","parse-names":false,"suffix":""},{"dropping-particle":"","family":"Hertel","given":"Guido","non-dropping-particle":"","parse-names":false,"suffix":""},{"dropping-particle":"","family":"Mojzisch","given":"Andreas","non-dropping-particle":"","parse-names":false,"suffix":""},{"dropping-particle":"","family":"Krumm","given":"Stefan","non-dropping-particle":"","parse-names":false,"suffix":""}],"container-title":"Journal of Applied Psychology","id":"ITEM-1","issue":"12","issued":{"date-parts":[["2017"]]},"page":"1673-1685","title":"On the boundary conditions of effort losses and effort gains in action teams","type":"article-journal","volume":"102"},"uris":["http://www.mendeley.com/documents/?uuid=834e561d-819a-483d-aa50-bd381567b008"]}],"mendeley":{"formattedCitation":"(Hüffmeier et al., 2017)","plainTextFormattedCitation":"(Hüffmeier et al., 2017)","previouslyFormattedCitation":"(Hüffmeier et al., 2017)"},"properties":{"noteIndex":0},"schema":"https://github.com/citation-style-language/schema/raw/master/csl-citation.json"}</w:instrText>
      </w:r>
      <w:r w:rsidR="00491ED4">
        <w:rPr>
          <w:rFonts w:ascii="Georgia" w:eastAsia="Arial" w:hAnsi="Georgia" w:cs="Times New Roman"/>
          <w:lang w:val="en-US"/>
        </w:rPr>
        <w:fldChar w:fldCharType="separate"/>
      </w:r>
      <w:r w:rsidR="00491ED4" w:rsidRPr="00491ED4">
        <w:rPr>
          <w:rFonts w:ascii="Georgia" w:eastAsia="Arial" w:hAnsi="Georgia" w:cs="Times New Roman"/>
          <w:noProof/>
          <w:lang w:val="en-US"/>
        </w:rPr>
        <w:t>(Hüffmeier et al., 2017)</w:t>
      </w:r>
      <w:r w:rsidR="00491ED4">
        <w:rPr>
          <w:rFonts w:ascii="Georgia" w:eastAsia="Arial" w:hAnsi="Georgia" w:cs="Times New Roman"/>
          <w:lang w:val="en-US"/>
        </w:rPr>
        <w:fldChar w:fldCharType="end"/>
      </w:r>
      <w:r>
        <w:rPr>
          <w:rFonts w:ascii="Georgia" w:eastAsia="Arial" w:hAnsi="Georgia" w:cs="Times New Roman"/>
          <w:lang w:val="en-US"/>
        </w:rPr>
        <w:t xml:space="preserve">. </w:t>
      </w:r>
      <w:r w:rsidR="009E125C">
        <w:rPr>
          <w:rFonts w:ascii="Georgia" w:eastAsia="Arial" w:hAnsi="Georgia" w:cs="Times New Roman"/>
          <w:lang w:val="en-US"/>
        </w:rPr>
        <w:t xml:space="preserve"> </w:t>
      </w:r>
      <w:proofErr w:type="gramStart"/>
      <w:r w:rsidR="000C6592">
        <w:rPr>
          <w:rFonts w:ascii="Georgia" w:eastAsia="Arial" w:hAnsi="Georgia" w:cs="Times New Roman"/>
          <w:lang w:val="en-US"/>
        </w:rPr>
        <w:t>Lari estafet merupakan salah satu nomor dalam cabang olahraga atletik.</w:t>
      </w:r>
      <w:proofErr w:type="gramEnd"/>
      <w:r w:rsidR="000C6592">
        <w:rPr>
          <w:rFonts w:ascii="Georgia" w:eastAsia="Arial" w:hAnsi="Georgia" w:cs="Times New Roman"/>
          <w:lang w:val="en-US"/>
        </w:rPr>
        <w:t xml:space="preserve"> Lari estafet merupakan lari beregu, dimana pelari secara bersambung bergantian membawa tongkat estafet, dari garis start menuju ke garis finisih. </w:t>
      </w:r>
      <w:r w:rsidR="00153686">
        <w:rPr>
          <w:rFonts w:ascii="Georgia" w:eastAsia="Arial" w:hAnsi="Georgia" w:cs="Times New Roman"/>
          <w:lang w:val="en-US"/>
        </w:rPr>
        <w:t>Lari estafet merupakan s</w:t>
      </w:r>
      <w:r w:rsidR="000C6592">
        <w:rPr>
          <w:rFonts w:ascii="Georgia" w:eastAsia="Arial" w:hAnsi="Georgia" w:cs="Times New Roman"/>
          <w:lang w:val="en-US"/>
        </w:rPr>
        <w:t>alah satu nomor yang dipertandingkan adalah 4x100 m</w:t>
      </w:r>
      <w:r w:rsidR="00491ED4">
        <w:rPr>
          <w:rFonts w:ascii="Georgia" w:eastAsia="Arial" w:hAnsi="Georgia" w:cs="Times New Roman"/>
          <w:lang w:val="en-US"/>
        </w:rPr>
        <w:t xml:space="preserve"> dan 4x400</w:t>
      </w:r>
      <w:r w:rsidR="000C6592">
        <w:rPr>
          <w:rFonts w:ascii="Georgia" w:eastAsia="Arial" w:hAnsi="Georgia" w:cs="Times New Roman"/>
          <w:lang w:val="en-US"/>
        </w:rPr>
        <w:t xml:space="preserve"> putra dan putri</w:t>
      </w:r>
      <w:r w:rsidR="00A25076">
        <w:rPr>
          <w:rFonts w:ascii="Georgia" w:eastAsia="Arial" w:hAnsi="Georgia" w:cs="Times New Roman"/>
          <w:lang w:val="en-US"/>
        </w:rPr>
        <w:t xml:space="preserve"> </w:t>
      </w:r>
      <w:r w:rsidR="00A25076">
        <w:rPr>
          <w:rFonts w:ascii="Georgia" w:eastAsia="Arial" w:hAnsi="Georgia" w:cs="Times New Roman"/>
          <w:lang w:val="en-US"/>
        </w:rPr>
        <w:fldChar w:fldCharType="begin" w:fldLock="1"/>
      </w:r>
      <w:r w:rsidR="00491ED4">
        <w:rPr>
          <w:rFonts w:ascii="Georgia" w:eastAsia="Arial" w:hAnsi="Georgia" w:cs="Times New Roman"/>
          <w:lang w:val="en-US"/>
        </w:rPr>
        <w:instrText>ADDIN CSL_CITATION {"citationItems":[{"id":"ITEM-1","itemData":{"DOI":"10.1371/journal.pone.0254538","ISBN":"1111111111","ISSN":"19326203","PMID":"34265006","abstract":"Aim: The aim was to predict and understand variations in swimmer performance between individual and relay events, and develop a predictive model for the 4x200-m swimming freestyle relay event to help inform team selection and strategy. Data and methods: Race data for 716 relay finals (4 x 200-m freestyle) from 14 international competitions between 2010-2018 were analysed. Individual 200-m freestyle season best time for the same year was located for each swimmer. Linear regression and machine learning was applied to 4 x 200-m swimming freestyle relay events. Results: Compared to the individual event, the lowest ranked swimmer in the team (-0.62 s, CI = [-0.94, -0.30]) and American swimmers (-0.48 s [-0.89, -0.08]) typically swam faster 200- m times in relay events. Random forest models predicted gold, silver, bronze and nonmedal with 100%, up to 41%, up to 63%, and 93% sensitivity, respectively. Discussion: Team finishing position was strongly associated with the differential time to the fastest team (mean decrease in Gini (MDG) when this variable was omitted = 31.3), world rankings of team members (average ranking MDG of 18.9), and the order of swimmers (MDG = 6.9). Differential times are based on the sum of individual swimmer's season's best times, and along with world rankings, reflect team strength. In contrast, the order of swimmers reflects strategy. This type of analysis could assist coaches and support staff in selecting swimmers and team orders for relay events to enhance the likelihood of success.","author":[{"dropping-particle":"","family":"Wu","given":"Paul Pao Yen","non-dropping-particle":"","parse-names":false,"suffix":""},{"dropping-particle":"","family":"Babaei","given":"Toktam","non-dropping-particle":"","parse-names":false,"suffix":""},{"dropping-particle":"","family":"O'Shea","given":"Michael","non-dropping-particle":"","parse-names":false,"suffix":""},{"dropping-particle":"","family":"Mengersen","given":"Kerrie","non-dropping-particle":"","parse-names":false,"suffix":""},{"dropping-particle":"","family":"Drovandi","given":"Christopher","non-dropping-particle":"","parse-names":false,"suffix":""},{"dropping-particle":"","family":"McGibbon","given":"Katie E.","non-dropping-particle":"","parse-names":false,"suffix":""},{"dropping-particle":"","family":"Pyne","given":"David B.","non-dropping-particle":"","parse-names":false,"suffix":""},{"dropping-particle":"","family":"Mitchell","given":"Lachlan J.G.","non-dropping-particle":"","parse-names":false,"suffix":""},{"dropping-particle":"","family":"Osborne","given":"Mark A.","non-dropping-particle":"","parse-names":false,"suffix":""}],"container-title":"PLoS ONE","id":"ITEM-1","issue":"7 July","issued":{"date-parts":[["2021"]]},"page":"1-13","title":"Predicting performance in 4 x 200-m freestyle swimming relay events","type":"article-journal","volume":"16"},"uris":["http://www.mendeley.com/documents/?uuid=b08aa91a-d4aa-445a-8c1e-217fa1bb60be"]}],"mendeley":{"formattedCitation":"(Wu et al., 2021)","plainTextFormattedCitation":"(Wu et al., 2021)","previouslyFormattedCitation":"(Wu et al., 2021)"},"properties":{"noteIndex":0},"schema":"https://github.com/citation-style-language/schema/raw/master/csl-citation.json"}</w:instrText>
      </w:r>
      <w:r w:rsidR="00A25076">
        <w:rPr>
          <w:rFonts w:ascii="Georgia" w:eastAsia="Arial" w:hAnsi="Georgia" w:cs="Times New Roman"/>
          <w:lang w:val="en-US"/>
        </w:rPr>
        <w:fldChar w:fldCharType="separate"/>
      </w:r>
      <w:r w:rsidR="00A25076" w:rsidRPr="00A25076">
        <w:rPr>
          <w:rFonts w:ascii="Georgia" w:eastAsia="Arial" w:hAnsi="Georgia" w:cs="Times New Roman"/>
          <w:noProof/>
          <w:lang w:val="en-US"/>
        </w:rPr>
        <w:t>(Wu et al., 2021)</w:t>
      </w:r>
      <w:r w:rsidR="00A25076">
        <w:rPr>
          <w:rFonts w:ascii="Georgia" w:eastAsia="Arial" w:hAnsi="Georgia" w:cs="Times New Roman"/>
          <w:lang w:val="en-US"/>
        </w:rPr>
        <w:fldChar w:fldCharType="end"/>
      </w:r>
      <w:r w:rsidR="000C6592">
        <w:rPr>
          <w:rFonts w:ascii="Georgia" w:eastAsia="Arial" w:hAnsi="Georgia" w:cs="Times New Roman"/>
          <w:lang w:val="en-US"/>
        </w:rPr>
        <w:t xml:space="preserve">. </w:t>
      </w:r>
      <w:r w:rsidR="00BA27F0">
        <w:rPr>
          <w:rFonts w:ascii="Georgia" w:eastAsia="Arial" w:hAnsi="Georgia" w:cs="Times New Roman"/>
          <w:lang w:val="en-US"/>
        </w:rPr>
        <w:t xml:space="preserve">Salah satu atlet terhebat dalam sejarah atletik adalah Usain Bolt, merupakan pemenang delapan emas dalam sejarah olimpiade serta rekor dunia nomor 100 m dan 4 x 400 m </w:t>
      </w:r>
      <w:r w:rsidR="00BA27F0">
        <w:rPr>
          <w:rFonts w:ascii="Georgia" w:eastAsia="Arial" w:hAnsi="Georgia" w:cs="Times New Roman"/>
          <w:lang w:val="en-US"/>
        </w:rPr>
        <w:fldChar w:fldCharType="begin" w:fldLock="1"/>
      </w:r>
      <w:r w:rsidR="006D254A">
        <w:rPr>
          <w:rFonts w:ascii="Georgia" w:eastAsia="Arial" w:hAnsi="Georgia" w:cs="Times New Roman"/>
          <w:lang w:val="en-US"/>
        </w:rPr>
        <w:instrText>ADDIN CSL_CITATION {"citationItems":[{"id":"ITEM-1","itemData":{"DOI":"10.26582/K.50.2.10","ISSN":"13311441","abstract":"This study investigated the maximal sprint velocity kinematics of the fastest 100 m sprinter Usain Bolt. Two high-speed video cameras recorded kinematics from 60-to 90-m marks during the men 100 m final at the IAAF World Challenge Zagreb 2011, Croatia. Despite a relatively slow reaction time (194 ms), Bolt won in 9.85 s (mean velocity: 10.15 m/s). His fastest 20-m section velocity was 12.14 m/s, reached between 70-and 90-m marks, by 2.70 m long strides and 4.36 strides/s frequency. At the maximal velocity, his contact and flight times were 86 and 145 ms, respectively, and vertical ground reaction force generated equalled 4.2 times his body weight (3932 N). The braking and propulsion phase represented 37% and 63% of ground contact, respectively, with his centre of mass (CoM) exhibiting minor reductions in horizontal velocity (2.7%) and minimal vertical displacement (4.9 cm) emerged Bolt’s maximal sprint velocity and international predominance from his coordinated motor abilities, power generation capacities, and effective technique. This study confirms that his maximal velocity was achieved by means of relatively long strides, minimal braking phase, high vertical ground reaction force, and minimal vertical displacement of CoM. This study is the first in-depth biomechanical analysis of Bolt’s maximal sprinting velocity with the segmental reconstruction.","author":[{"dropping-particle":"","family":"Čoh","given":"Milan","non-dropping-particle":"","parse-names":false,"suffix":""},{"dropping-particle":"","family":"Hébert-Losier","given":"Kim","non-dropping-particle":"","parse-names":false,"suffix":""},{"dropping-particle":"","family":"Štuhec","given":"Stanko","non-dropping-particle":"","parse-names":false,"suffix":""},{"dropping-particle":"","family":"Babić","given":"Vesna","non-dropping-particle":"","parse-names":false,"suffix":""},{"dropping-particle":"","family":"Supej","given":"Matej","non-dropping-particle":"","parse-names":false,"suffix":""}],"container-title":"Kinesiology","id":"ITEM-1","issue":"2","issued":{"date-parts":[["2018"]]},"page":"172-180","title":"Kinematics of Usain Bolt’s maximal sprint velocity","type":"article-journal","volume":"50"},"uris":["http://www.mendeley.com/documents/?uuid=f40720ea-c38c-4b52-8db4-6490101ae901"]}],"mendeley":{"formattedCitation":"(Čoh et al., 2018)","plainTextFormattedCitation":"(Čoh et al., 2018)","previouslyFormattedCitation":"(Čoh et al., 2018)"},"properties":{"noteIndex":0},"schema":"https://github.com/citation-style-language/schema/raw/master/csl-citation.json"}</w:instrText>
      </w:r>
      <w:r w:rsidR="00BA27F0">
        <w:rPr>
          <w:rFonts w:ascii="Georgia" w:eastAsia="Arial" w:hAnsi="Georgia" w:cs="Times New Roman"/>
          <w:lang w:val="en-US"/>
        </w:rPr>
        <w:fldChar w:fldCharType="separate"/>
      </w:r>
      <w:r w:rsidR="00BA27F0" w:rsidRPr="00BA27F0">
        <w:rPr>
          <w:rFonts w:ascii="Georgia" w:eastAsia="Arial" w:hAnsi="Georgia" w:cs="Times New Roman"/>
          <w:noProof/>
          <w:lang w:val="en-US"/>
        </w:rPr>
        <w:t>(Čoh et al., 2018)</w:t>
      </w:r>
      <w:r w:rsidR="00BA27F0">
        <w:rPr>
          <w:rFonts w:ascii="Georgia" w:eastAsia="Arial" w:hAnsi="Georgia" w:cs="Times New Roman"/>
          <w:lang w:val="en-US"/>
        </w:rPr>
        <w:fldChar w:fldCharType="end"/>
      </w:r>
      <w:r w:rsidR="00BA27F0">
        <w:rPr>
          <w:rFonts w:ascii="Georgia" w:eastAsia="Arial" w:hAnsi="Georgia" w:cs="Times New Roman"/>
          <w:lang w:val="en-US"/>
        </w:rPr>
        <w:t xml:space="preserve">. Ini merupakan gambaran lari estafet, maka lewat penelitian ini akan dikupas lebih dalam bagaimana lari estafet bagi siswa dengan TGT dalam meningkatkan hasil belajar kognitif. </w:t>
      </w:r>
      <w:proofErr w:type="gramStart"/>
      <w:r w:rsidR="009324F7">
        <w:rPr>
          <w:rFonts w:ascii="Georgia" w:eastAsia="Arial" w:hAnsi="Georgia" w:cs="Times New Roman"/>
          <w:lang w:val="en-US"/>
        </w:rPr>
        <w:t>Adapun t</w:t>
      </w:r>
      <w:r w:rsidR="00BA7B6A" w:rsidRPr="00BA7B6A">
        <w:rPr>
          <w:rFonts w:ascii="Georgia" w:eastAsia="Arial" w:hAnsi="Georgia" w:cs="Times New Roman"/>
          <w:lang w:val="en-US"/>
        </w:rPr>
        <w:t>ujuan</w:t>
      </w:r>
      <w:r w:rsidR="009324F7">
        <w:rPr>
          <w:rFonts w:ascii="Georgia" w:eastAsia="Arial" w:hAnsi="Georgia" w:cs="Times New Roman"/>
          <w:lang w:val="en-US"/>
        </w:rPr>
        <w:t xml:space="preserve"> dari penelitian ini adalah mengetahui pengaruh model pembelajaran kooperatif tipe TGT terhadap hasil b</w:t>
      </w:r>
      <w:r w:rsidR="00F9134C">
        <w:rPr>
          <w:rFonts w:ascii="Georgia" w:eastAsia="Arial" w:hAnsi="Georgia" w:cs="Times New Roman"/>
          <w:lang w:val="en-US"/>
        </w:rPr>
        <w:t>elajar kognitif siswa pada topik</w:t>
      </w:r>
      <w:r w:rsidR="009324F7">
        <w:rPr>
          <w:rFonts w:ascii="Georgia" w:eastAsia="Arial" w:hAnsi="Georgia" w:cs="Times New Roman"/>
          <w:lang w:val="en-US"/>
        </w:rPr>
        <w:t xml:space="preserve"> lari estafet.</w:t>
      </w:r>
      <w:proofErr w:type="gramEnd"/>
    </w:p>
    <w:p w14:paraId="4B10C1F1" w14:textId="77777777" w:rsidR="0043413B" w:rsidRDefault="0043413B" w:rsidP="004120BF">
      <w:pPr>
        <w:spacing w:after="0" w:line="360" w:lineRule="auto"/>
        <w:jc w:val="both"/>
        <w:rPr>
          <w:rFonts w:ascii="Georgia" w:eastAsia="Arial" w:hAnsi="Georgia" w:cs="Times New Roman"/>
          <w:b/>
          <w:lang w:val="en-US"/>
        </w:rPr>
      </w:pPr>
    </w:p>
    <w:p w14:paraId="341AF9EE" w14:textId="7248F147" w:rsidR="00191E4B"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METODE</w:t>
      </w:r>
      <w:r w:rsidR="00191E4B" w:rsidRPr="00723B12">
        <w:rPr>
          <w:rFonts w:ascii="Georgia" w:eastAsia="Arial" w:hAnsi="Georgia" w:cs="Times New Roman"/>
          <w:b/>
        </w:rPr>
        <w:t xml:space="preserve"> </w:t>
      </w:r>
    </w:p>
    <w:p w14:paraId="4DD67D73" w14:textId="5ECA6047" w:rsidR="0097226D" w:rsidRPr="0097226D" w:rsidRDefault="0097226D" w:rsidP="0097226D">
      <w:pPr>
        <w:pStyle w:val="NormalWeb"/>
        <w:shd w:val="clear" w:color="auto" w:fill="FFFFFF"/>
        <w:spacing w:before="0" w:beforeAutospacing="0" w:after="0" w:afterAutospacing="0"/>
        <w:ind w:firstLine="567"/>
        <w:jc w:val="both"/>
        <w:rPr>
          <w:rFonts w:ascii="Georgia" w:hAnsi="Georgia"/>
          <w:noProof/>
          <w:sz w:val="22"/>
          <w:szCs w:val="22"/>
          <w:lang w:val="en-US"/>
        </w:rPr>
      </w:pPr>
      <w:proofErr w:type="gramStart"/>
      <w:r w:rsidRPr="0097226D">
        <w:rPr>
          <w:rFonts w:ascii="Georgia" w:hAnsi="Georgia"/>
          <w:sz w:val="22"/>
          <w:szCs w:val="22"/>
          <w:lang w:val="en-US"/>
        </w:rPr>
        <w:t>Penelitian ini menggunakan p</w:t>
      </w:r>
      <w:r w:rsidRPr="0097226D">
        <w:rPr>
          <w:rFonts w:ascii="Georgia" w:hAnsi="Georgia"/>
          <w:sz w:val="22"/>
          <w:szCs w:val="22"/>
        </w:rPr>
        <w:t>endekatan kuantitatif.</w:t>
      </w:r>
      <w:proofErr w:type="gramEnd"/>
      <w:r w:rsidRPr="0097226D">
        <w:rPr>
          <w:rFonts w:ascii="Georgia" w:hAnsi="Georgia"/>
          <w:sz w:val="22"/>
          <w:szCs w:val="22"/>
        </w:rPr>
        <w:t xml:space="preserve"> Metode yang digunakan adalah metode eksperimen dengan bentuk penelitian quasi experimental design yang digunakan adalah nonequivalent control group design. Desain ini dilakasanakan untuk menyelidiki pengaruh </w:t>
      </w:r>
      <w:r w:rsidRPr="0097226D">
        <w:rPr>
          <w:rFonts w:ascii="Georgia" w:eastAsia="Arial" w:hAnsi="Georgia"/>
          <w:lang w:val="en-US"/>
        </w:rPr>
        <w:t xml:space="preserve">kooperatif tipe TGT terhadap hasil belajar kognitif siswa </w:t>
      </w:r>
      <w:r w:rsidRPr="0097226D">
        <w:rPr>
          <w:rFonts w:ascii="Georgia" w:hAnsi="Georgia"/>
          <w:sz w:val="22"/>
          <w:szCs w:val="22"/>
        </w:rPr>
        <w:t xml:space="preserve">sesuai denga </w:t>
      </w:r>
      <w:r w:rsidRPr="0097226D">
        <w:rPr>
          <w:rFonts w:ascii="Georgia" w:hAnsi="Georgia"/>
          <w:sz w:val="22"/>
          <w:szCs w:val="22"/>
          <w:lang w:val="en-US"/>
        </w:rPr>
        <w:t>T</w:t>
      </w:r>
      <w:r w:rsidRPr="0097226D">
        <w:rPr>
          <w:rFonts w:ascii="Georgia" w:hAnsi="Georgia"/>
          <w:sz w:val="22"/>
          <w:szCs w:val="22"/>
        </w:rPr>
        <w:t>abel 1</w:t>
      </w:r>
      <w:r w:rsidRPr="0097226D">
        <w:rPr>
          <w:rFonts w:ascii="Georgia" w:hAnsi="Georgia"/>
          <w:sz w:val="22"/>
          <w:szCs w:val="22"/>
          <w:lang w:val="en-US"/>
        </w:rPr>
        <w:t>.</w:t>
      </w:r>
    </w:p>
    <w:p w14:paraId="38978151" w14:textId="77777777" w:rsidR="0097226D" w:rsidRPr="0097226D" w:rsidRDefault="0097226D" w:rsidP="0097226D">
      <w:pPr>
        <w:spacing w:after="0" w:line="240" w:lineRule="auto"/>
        <w:jc w:val="center"/>
        <w:rPr>
          <w:rFonts w:ascii="Georgia" w:hAnsi="Georgia"/>
          <w:sz w:val="24"/>
          <w:szCs w:val="24"/>
        </w:rPr>
      </w:pPr>
    </w:p>
    <w:p w14:paraId="2D0A80FE" w14:textId="524FB9B8" w:rsidR="0097226D" w:rsidRPr="0097226D" w:rsidRDefault="0097226D" w:rsidP="0097226D">
      <w:pPr>
        <w:spacing w:after="0" w:line="240" w:lineRule="auto"/>
        <w:jc w:val="center"/>
        <w:rPr>
          <w:rFonts w:ascii="Georgia" w:hAnsi="Georgia"/>
          <w:b/>
        </w:rPr>
      </w:pPr>
      <w:r w:rsidRPr="0097226D">
        <w:rPr>
          <w:rFonts w:ascii="Georgia" w:hAnsi="Georgia"/>
          <w:b/>
        </w:rPr>
        <w:t>Tabel 1.</w:t>
      </w:r>
      <w:r w:rsidRPr="0097226D">
        <w:rPr>
          <w:rFonts w:ascii="Georgia" w:hAnsi="Georgia"/>
          <w:b/>
          <w:lang w:val="en-US"/>
        </w:rPr>
        <w:t xml:space="preserve"> </w:t>
      </w:r>
      <w:r w:rsidRPr="0097226D">
        <w:rPr>
          <w:rFonts w:ascii="Georgia" w:hAnsi="Georgia"/>
          <w:b/>
        </w:rPr>
        <w:t>Desain Penelitian Nonequivalent Control Group Design</w:t>
      </w:r>
    </w:p>
    <w:tbl>
      <w:tblPr>
        <w:tblW w:w="9639" w:type="dxa"/>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2410"/>
        <w:gridCol w:w="1985"/>
        <w:gridCol w:w="2976"/>
        <w:gridCol w:w="2268"/>
      </w:tblGrid>
      <w:tr w:rsidR="0097226D" w:rsidRPr="0097226D" w14:paraId="69A4A399" w14:textId="77777777" w:rsidTr="006D254A">
        <w:trPr>
          <w:trHeight w:val="200"/>
        </w:trPr>
        <w:tc>
          <w:tcPr>
            <w:tcW w:w="2410" w:type="dxa"/>
            <w:tcBorders>
              <w:bottom w:val="single" w:sz="4" w:space="0" w:color="auto"/>
            </w:tcBorders>
            <w:shd w:val="clear" w:color="auto" w:fill="auto"/>
          </w:tcPr>
          <w:p w14:paraId="07036BFD" w14:textId="77777777" w:rsidR="0097226D" w:rsidRPr="0097226D" w:rsidRDefault="0097226D" w:rsidP="0097226D">
            <w:pPr>
              <w:spacing w:after="0" w:line="240" w:lineRule="auto"/>
              <w:jc w:val="center"/>
              <w:rPr>
                <w:rFonts w:ascii="Georgia" w:hAnsi="Georgia"/>
                <w:b/>
              </w:rPr>
            </w:pPr>
            <w:r w:rsidRPr="0097226D">
              <w:rPr>
                <w:rFonts w:ascii="Georgia" w:hAnsi="Georgia"/>
                <w:b/>
              </w:rPr>
              <w:t>Kelompok</w:t>
            </w:r>
          </w:p>
        </w:tc>
        <w:tc>
          <w:tcPr>
            <w:tcW w:w="1985" w:type="dxa"/>
            <w:tcBorders>
              <w:bottom w:val="single" w:sz="4" w:space="0" w:color="auto"/>
            </w:tcBorders>
            <w:shd w:val="clear" w:color="auto" w:fill="auto"/>
          </w:tcPr>
          <w:p w14:paraId="295288FA" w14:textId="77777777" w:rsidR="0097226D" w:rsidRPr="0097226D" w:rsidRDefault="0097226D" w:rsidP="0097226D">
            <w:pPr>
              <w:spacing w:after="0" w:line="240" w:lineRule="auto"/>
              <w:jc w:val="center"/>
              <w:rPr>
                <w:rFonts w:ascii="Georgia" w:hAnsi="Georgia"/>
                <w:b/>
              </w:rPr>
            </w:pPr>
            <w:r w:rsidRPr="0097226D">
              <w:rPr>
                <w:rFonts w:ascii="Georgia" w:hAnsi="Georgia"/>
                <w:b/>
              </w:rPr>
              <w:t>Pretes</w:t>
            </w:r>
          </w:p>
        </w:tc>
        <w:tc>
          <w:tcPr>
            <w:tcW w:w="2976" w:type="dxa"/>
            <w:tcBorders>
              <w:bottom w:val="single" w:sz="4" w:space="0" w:color="auto"/>
            </w:tcBorders>
            <w:shd w:val="clear" w:color="auto" w:fill="auto"/>
          </w:tcPr>
          <w:p w14:paraId="5E5D9DE9" w14:textId="77777777" w:rsidR="0097226D" w:rsidRPr="0097226D" w:rsidRDefault="0097226D" w:rsidP="0097226D">
            <w:pPr>
              <w:spacing w:after="0" w:line="240" w:lineRule="auto"/>
              <w:jc w:val="center"/>
              <w:rPr>
                <w:rFonts w:ascii="Georgia" w:hAnsi="Georgia"/>
                <w:b/>
              </w:rPr>
            </w:pPr>
            <w:r w:rsidRPr="0097226D">
              <w:rPr>
                <w:rFonts w:ascii="Georgia" w:hAnsi="Georgia"/>
                <w:b/>
              </w:rPr>
              <w:t>Perlakuan</w:t>
            </w:r>
          </w:p>
        </w:tc>
        <w:tc>
          <w:tcPr>
            <w:tcW w:w="2268" w:type="dxa"/>
            <w:tcBorders>
              <w:bottom w:val="single" w:sz="4" w:space="0" w:color="auto"/>
            </w:tcBorders>
            <w:shd w:val="clear" w:color="auto" w:fill="auto"/>
          </w:tcPr>
          <w:p w14:paraId="487FCB3C" w14:textId="77777777" w:rsidR="0097226D" w:rsidRPr="0097226D" w:rsidRDefault="0097226D" w:rsidP="0097226D">
            <w:pPr>
              <w:spacing w:after="0" w:line="240" w:lineRule="auto"/>
              <w:jc w:val="center"/>
              <w:rPr>
                <w:rFonts w:ascii="Georgia" w:hAnsi="Georgia"/>
                <w:b/>
              </w:rPr>
            </w:pPr>
            <w:r w:rsidRPr="0097226D">
              <w:rPr>
                <w:rFonts w:ascii="Georgia" w:hAnsi="Georgia"/>
                <w:b/>
              </w:rPr>
              <w:t>Posttes</w:t>
            </w:r>
          </w:p>
        </w:tc>
      </w:tr>
      <w:tr w:rsidR="0097226D" w:rsidRPr="0097226D" w14:paraId="3C4054B9" w14:textId="77777777" w:rsidTr="006D254A">
        <w:trPr>
          <w:trHeight w:val="245"/>
        </w:trPr>
        <w:tc>
          <w:tcPr>
            <w:tcW w:w="2410" w:type="dxa"/>
            <w:tcBorders>
              <w:bottom w:val="nil"/>
            </w:tcBorders>
            <w:shd w:val="clear" w:color="auto" w:fill="auto"/>
          </w:tcPr>
          <w:p w14:paraId="6C250683" w14:textId="77777777" w:rsidR="0097226D" w:rsidRPr="0097226D" w:rsidRDefault="0097226D" w:rsidP="0097226D">
            <w:pPr>
              <w:spacing w:after="0" w:line="240" w:lineRule="auto"/>
              <w:jc w:val="center"/>
              <w:rPr>
                <w:rFonts w:ascii="Georgia" w:hAnsi="Georgia"/>
              </w:rPr>
            </w:pPr>
            <w:r w:rsidRPr="0097226D">
              <w:rPr>
                <w:rFonts w:ascii="Georgia" w:hAnsi="Georgia"/>
              </w:rPr>
              <w:t>Eksperimen</w:t>
            </w:r>
          </w:p>
        </w:tc>
        <w:tc>
          <w:tcPr>
            <w:tcW w:w="1985" w:type="dxa"/>
            <w:tcBorders>
              <w:bottom w:val="nil"/>
            </w:tcBorders>
            <w:shd w:val="clear" w:color="auto" w:fill="auto"/>
          </w:tcPr>
          <w:p w14:paraId="6377B8F0" w14:textId="77777777" w:rsidR="0097226D" w:rsidRPr="0097226D" w:rsidRDefault="0097226D" w:rsidP="0097226D">
            <w:pPr>
              <w:spacing w:after="0" w:line="240" w:lineRule="auto"/>
              <w:jc w:val="center"/>
              <w:rPr>
                <w:rFonts w:ascii="Georgia" w:hAnsi="Georgia"/>
              </w:rPr>
            </w:pPr>
            <w:r w:rsidRPr="0097226D">
              <w:rPr>
                <w:rFonts w:ascii="Georgia" w:hAnsi="Georgia"/>
              </w:rPr>
              <w:t>Y</w:t>
            </w:r>
            <w:r w:rsidRPr="0097226D">
              <w:rPr>
                <w:rFonts w:ascii="Georgia" w:hAnsi="Georgia"/>
                <w:vertAlign w:val="subscript"/>
              </w:rPr>
              <w:t>1</w:t>
            </w:r>
          </w:p>
        </w:tc>
        <w:tc>
          <w:tcPr>
            <w:tcW w:w="2976" w:type="dxa"/>
            <w:tcBorders>
              <w:bottom w:val="nil"/>
            </w:tcBorders>
            <w:shd w:val="clear" w:color="auto" w:fill="auto"/>
          </w:tcPr>
          <w:p w14:paraId="02FEB7DE" w14:textId="77777777" w:rsidR="0097226D" w:rsidRPr="0097226D" w:rsidRDefault="0097226D" w:rsidP="0097226D">
            <w:pPr>
              <w:spacing w:after="0" w:line="240" w:lineRule="auto"/>
              <w:jc w:val="center"/>
              <w:rPr>
                <w:rFonts w:ascii="Georgia" w:hAnsi="Georgia"/>
              </w:rPr>
            </w:pPr>
            <w:r w:rsidRPr="0097226D">
              <w:rPr>
                <w:rFonts w:ascii="Georgia" w:hAnsi="Georgia"/>
              </w:rPr>
              <w:t>X</w:t>
            </w:r>
            <w:r w:rsidRPr="0097226D">
              <w:rPr>
                <w:rFonts w:ascii="Georgia" w:hAnsi="Georgia"/>
                <w:vertAlign w:val="subscript"/>
              </w:rPr>
              <w:t>1</w:t>
            </w:r>
          </w:p>
        </w:tc>
        <w:tc>
          <w:tcPr>
            <w:tcW w:w="2268" w:type="dxa"/>
            <w:tcBorders>
              <w:bottom w:val="nil"/>
            </w:tcBorders>
            <w:shd w:val="clear" w:color="auto" w:fill="auto"/>
          </w:tcPr>
          <w:p w14:paraId="00E0699D" w14:textId="77777777" w:rsidR="0097226D" w:rsidRPr="0097226D" w:rsidRDefault="0097226D" w:rsidP="0097226D">
            <w:pPr>
              <w:spacing w:after="0" w:line="240" w:lineRule="auto"/>
              <w:jc w:val="center"/>
              <w:rPr>
                <w:rFonts w:ascii="Georgia" w:hAnsi="Georgia"/>
              </w:rPr>
            </w:pPr>
            <w:r w:rsidRPr="0097226D">
              <w:rPr>
                <w:rFonts w:ascii="Georgia" w:hAnsi="Georgia"/>
              </w:rPr>
              <w:t>Y</w:t>
            </w:r>
            <w:r w:rsidRPr="0097226D">
              <w:rPr>
                <w:rFonts w:ascii="Georgia" w:hAnsi="Georgia"/>
                <w:vertAlign w:val="subscript"/>
              </w:rPr>
              <w:t>2</w:t>
            </w:r>
          </w:p>
        </w:tc>
      </w:tr>
      <w:tr w:rsidR="0097226D" w:rsidRPr="0097226D" w14:paraId="70DAED83" w14:textId="77777777" w:rsidTr="006D254A">
        <w:trPr>
          <w:trHeight w:val="136"/>
        </w:trPr>
        <w:tc>
          <w:tcPr>
            <w:tcW w:w="2410" w:type="dxa"/>
            <w:tcBorders>
              <w:top w:val="nil"/>
            </w:tcBorders>
            <w:shd w:val="clear" w:color="auto" w:fill="auto"/>
          </w:tcPr>
          <w:p w14:paraId="0AFF1FE3" w14:textId="77777777" w:rsidR="0097226D" w:rsidRPr="0097226D" w:rsidRDefault="0097226D" w:rsidP="0097226D">
            <w:pPr>
              <w:spacing w:after="0" w:line="240" w:lineRule="auto"/>
              <w:jc w:val="center"/>
              <w:rPr>
                <w:rFonts w:ascii="Georgia" w:hAnsi="Georgia"/>
              </w:rPr>
            </w:pPr>
            <w:r w:rsidRPr="0097226D">
              <w:rPr>
                <w:rFonts w:ascii="Georgia" w:hAnsi="Georgia"/>
              </w:rPr>
              <w:t>Kontrol</w:t>
            </w:r>
          </w:p>
        </w:tc>
        <w:tc>
          <w:tcPr>
            <w:tcW w:w="1985" w:type="dxa"/>
            <w:tcBorders>
              <w:top w:val="nil"/>
            </w:tcBorders>
            <w:shd w:val="clear" w:color="auto" w:fill="auto"/>
          </w:tcPr>
          <w:p w14:paraId="7876F04C" w14:textId="77777777" w:rsidR="0097226D" w:rsidRPr="0097226D" w:rsidRDefault="0097226D" w:rsidP="0097226D">
            <w:pPr>
              <w:spacing w:after="0" w:line="240" w:lineRule="auto"/>
              <w:jc w:val="center"/>
              <w:rPr>
                <w:rFonts w:ascii="Georgia" w:hAnsi="Georgia"/>
              </w:rPr>
            </w:pPr>
            <w:r w:rsidRPr="0097226D">
              <w:rPr>
                <w:rFonts w:ascii="Georgia" w:hAnsi="Georgia"/>
              </w:rPr>
              <w:t>Y</w:t>
            </w:r>
            <w:r w:rsidRPr="0097226D">
              <w:rPr>
                <w:rFonts w:ascii="Georgia" w:hAnsi="Georgia"/>
                <w:vertAlign w:val="subscript"/>
              </w:rPr>
              <w:t>3</w:t>
            </w:r>
          </w:p>
        </w:tc>
        <w:tc>
          <w:tcPr>
            <w:tcW w:w="2976" w:type="dxa"/>
            <w:tcBorders>
              <w:top w:val="nil"/>
            </w:tcBorders>
            <w:shd w:val="clear" w:color="auto" w:fill="auto"/>
          </w:tcPr>
          <w:p w14:paraId="05ED9397" w14:textId="77777777" w:rsidR="0097226D" w:rsidRPr="0097226D" w:rsidRDefault="0097226D" w:rsidP="0097226D">
            <w:pPr>
              <w:spacing w:after="0" w:line="240" w:lineRule="auto"/>
              <w:jc w:val="center"/>
              <w:rPr>
                <w:rFonts w:ascii="Georgia" w:hAnsi="Georgia"/>
              </w:rPr>
            </w:pPr>
            <w:r w:rsidRPr="0097226D">
              <w:rPr>
                <w:rFonts w:ascii="Georgia" w:hAnsi="Georgia"/>
              </w:rPr>
              <w:t>X</w:t>
            </w:r>
            <w:r w:rsidRPr="0097226D">
              <w:rPr>
                <w:rFonts w:ascii="Georgia" w:hAnsi="Georgia"/>
                <w:vertAlign w:val="subscript"/>
              </w:rPr>
              <w:t>2</w:t>
            </w:r>
          </w:p>
        </w:tc>
        <w:tc>
          <w:tcPr>
            <w:tcW w:w="2268" w:type="dxa"/>
            <w:tcBorders>
              <w:top w:val="nil"/>
            </w:tcBorders>
            <w:shd w:val="clear" w:color="auto" w:fill="auto"/>
          </w:tcPr>
          <w:p w14:paraId="0643C4A0" w14:textId="77777777" w:rsidR="0097226D" w:rsidRPr="0097226D" w:rsidRDefault="0097226D" w:rsidP="0097226D">
            <w:pPr>
              <w:spacing w:after="0" w:line="240" w:lineRule="auto"/>
              <w:jc w:val="center"/>
              <w:rPr>
                <w:rFonts w:ascii="Georgia" w:hAnsi="Georgia"/>
              </w:rPr>
            </w:pPr>
            <w:r w:rsidRPr="0097226D">
              <w:rPr>
                <w:rFonts w:ascii="Georgia" w:hAnsi="Georgia"/>
              </w:rPr>
              <w:t>Y</w:t>
            </w:r>
            <w:r w:rsidRPr="0097226D">
              <w:rPr>
                <w:rFonts w:ascii="Georgia" w:hAnsi="Georgia"/>
                <w:vertAlign w:val="subscript"/>
              </w:rPr>
              <w:t>4</w:t>
            </w:r>
          </w:p>
        </w:tc>
      </w:tr>
    </w:tbl>
    <w:p w14:paraId="5BE0257A" w14:textId="77777777" w:rsidR="0097226D" w:rsidRPr="00EF2FE8" w:rsidRDefault="0097226D" w:rsidP="00EF2FE8">
      <w:pPr>
        <w:spacing w:after="0" w:line="240" w:lineRule="auto"/>
        <w:jc w:val="both"/>
        <w:rPr>
          <w:rFonts w:ascii="Georgia" w:hAnsi="Georgia"/>
          <w:sz w:val="18"/>
          <w:szCs w:val="18"/>
        </w:rPr>
      </w:pPr>
      <w:r w:rsidRPr="00EF2FE8">
        <w:rPr>
          <w:rFonts w:ascii="Georgia" w:hAnsi="Georgia"/>
          <w:sz w:val="18"/>
          <w:szCs w:val="18"/>
        </w:rPr>
        <w:t>Keterangan</w:t>
      </w:r>
    </w:p>
    <w:p w14:paraId="410AA3B8" w14:textId="63C520F3" w:rsidR="0097226D" w:rsidRPr="00EF2FE8" w:rsidRDefault="0097226D" w:rsidP="00EF2FE8">
      <w:pPr>
        <w:spacing w:after="0" w:line="240" w:lineRule="auto"/>
        <w:jc w:val="both"/>
        <w:rPr>
          <w:rFonts w:ascii="Georgia" w:hAnsi="Georgia"/>
          <w:sz w:val="18"/>
          <w:szCs w:val="18"/>
        </w:rPr>
      </w:pPr>
      <w:r w:rsidRPr="00EF2FE8">
        <w:rPr>
          <w:rFonts w:ascii="Georgia" w:hAnsi="Georgia"/>
          <w:sz w:val="18"/>
          <w:szCs w:val="18"/>
        </w:rPr>
        <w:t>(X</w:t>
      </w:r>
      <w:r w:rsidRPr="00EF2FE8">
        <w:rPr>
          <w:rFonts w:ascii="Georgia" w:hAnsi="Georgia"/>
          <w:sz w:val="18"/>
          <w:szCs w:val="18"/>
          <w:vertAlign w:val="subscript"/>
        </w:rPr>
        <w:t>1</w:t>
      </w:r>
      <w:r w:rsidRPr="00EF2FE8">
        <w:rPr>
          <w:rFonts w:ascii="Georgia" w:hAnsi="Georgia"/>
          <w:sz w:val="18"/>
          <w:szCs w:val="18"/>
        </w:rPr>
        <w:t xml:space="preserve">) : Kelompk yang diberi perlakuan menggunakan model </w:t>
      </w:r>
      <w:r w:rsidR="00EF2FE8" w:rsidRPr="00EF2FE8">
        <w:rPr>
          <w:rFonts w:ascii="Georgia" w:eastAsia="Arial" w:hAnsi="Georgia" w:cs="Times New Roman"/>
          <w:sz w:val="18"/>
          <w:szCs w:val="18"/>
          <w:lang w:val="en-US"/>
        </w:rPr>
        <w:t>kooperatif tipe TGT</w:t>
      </w:r>
      <w:r w:rsidRPr="00EF2FE8">
        <w:rPr>
          <w:rFonts w:ascii="Georgia" w:hAnsi="Georgia"/>
          <w:sz w:val="18"/>
          <w:szCs w:val="18"/>
        </w:rPr>
        <w:t xml:space="preserve"> </w:t>
      </w:r>
    </w:p>
    <w:p w14:paraId="5037A0FC" w14:textId="77777777" w:rsidR="0097226D" w:rsidRPr="00EF2FE8" w:rsidRDefault="0097226D" w:rsidP="00EF2FE8">
      <w:pPr>
        <w:spacing w:after="0" w:line="240" w:lineRule="auto"/>
        <w:jc w:val="both"/>
        <w:rPr>
          <w:rFonts w:ascii="Georgia" w:hAnsi="Georgia"/>
          <w:sz w:val="18"/>
          <w:szCs w:val="18"/>
        </w:rPr>
      </w:pPr>
      <w:r w:rsidRPr="00EF2FE8">
        <w:rPr>
          <w:rFonts w:ascii="Georgia" w:hAnsi="Georgia"/>
          <w:sz w:val="18"/>
          <w:szCs w:val="18"/>
        </w:rPr>
        <w:t>(X</w:t>
      </w:r>
      <w:r w:rsidRPr="00EF2FE8">
        <w:rPr>
          <w:rFonts w:ascii="Georgia" w:hAnsi="Georgia"/>
          <w:sz w:val="18"/>
          <w:szCs w:val="18"/>
          <w:vertAlign w:val="subscript"/>
        </w:rPr>
        <w:t>2</w:t>
      </w:r>
      <w:r w:rsidRPr="00EF2FE8">
        <w:rPr>
          <w:rFonts w:ascii="Georgia" w:hAnsi="Georgia"/>
          <w:sz w:val="18"/>
          <w:szCs w:val="18"/>
        </w:rPr>
        <w:t xml:space="preserve">) : Kelompok dengan metode yang dipakai disekolah </w:t>
      </w:r>
    </w:p>
    <w:p w14:paraId="0127C6E8" w14:textId="77777777" w:rsidR="0097226D" w:rsidRPr="00EF2FE8" w:rsidRDefault="0097226D" w:rsidP="00EF2FE8">
      <w:pPr>
        <w:spacing w:after="0" w:line="240" w:lineRule="auto"/>
        <w:jc w:val="both"/>
        <w:rPr>
          <w:rFonts w:ascii="Georgia" w:hAnsi="Georgia"/>
          <w:sz w:val="18"/>
          <w:szCs w:val="18"/>
          <w:vertAlign w:val="subscript"/>
        </w:rPr>
      </w:pPr>
      <w:r w:rsidRPr="00EF2FE8">
        <w:rPr>
          <w:rFonts w:ascii="Georgia" w:hAnsi="Georgia"/>
          <w:sz w:val="18"/>
          <w:szCs w:val="18"/>
        </w:rPr>
        <w:t>(Y</w:t>
      </w:r>
      <w:r w:rsidRPr="00EF2FE8">
        <w:rPr>
          <w:rFonts w:ascii="Georgia" w:hAnsi="Georgia"/>
          <w:sz w:val="18"/>
          <w:szCs w:val="18"/>
          <w:vertAlign w:val="subscript"/>
        </w:rPr>
        <w:t>1</w:t>
      </w:r>
      <w:r w:rsidRPr="00EF2FE8">
        <w:rPr>
          <w:rFonts w:ascii="Georgia" w:hAnsi="Georgia"/>
          <w:sz w:val="18"/>
          <w:szCs w:val="18"/>
        </w:rPr>
        <w:t>) : Pengukuran kemampuan awal kelompok eksperimen</w:t>
      </w:r>
    </w:p>
    <w:p w14:paraId="6E066036" w14:textId="77777777" w:rsidR="0097226D" w:rsidRPr="00EF2FE8" w:rsidRDefault="0097226D" w:rsidP="00EF2FE8">
      <w:pPr>
        <w:spacing w:after="0" w:line="240" w:lineRule="auto"/>
        <w:jc w:val="both"/>
        <w:rPr>
          <w:rFonts w:ascii="Georgia" w:hAnsi="Georgia"/>
          <w:sz w:val="18"/>
          <w:szCs w:val="18"/>
        </w:rPr>
      </w:pPr>
      <w:r w:rsidRPr="00EF2FE8">
        <w:rPr>
          <w:rFonts w:ascii="Georgia" w:hAnsi="Georgia"/>
          <w:sz w:val="18"/>
          <w:szCs w:val="18"/>
        </w:rPr>
        <w:t>(Y</w:t>
      </w:r>
      <w:r w:rsidRPr="00EF2FE8">
        <w:rPr>
          <w:rFonts w:ascii="Georgia" w:hAnsi="Georgia"/>
          <w:sz w:val="18"/>
          <w:szCs w:val="18"/>
          <w:vertAlign w:val="subscript"/>
        </w:rPr>
        <w:t>2</w:t>
      </w:r>
      <w:r w:rsidRPr="00EF2FE8">
        <w:rPr>
          <w:rFonts w:ascii="Georgia" w:hAnsi="Georgia"/>
          <w:sz w:val="18"/>
          <w:szCs w:val="18"/>
        </w:rPr>
        <w:t>) : Pengukuran kemampuan akhir kelompok eksperimen</w:t>
      </w:r>
    </w:p>
    <w:p w14:paraId="05A5DEB9" w14:textId="77777777" w:rsidR="0097226D" w:rsidRPr="00EF2FE8" w:rsidRDefault="0097226D" w:rsidP="00EF2FE8">
      <w:pPr>
        <w:spacing w:after="0" w:line="240" w:lineRule="auto"/>
        <w:jc w:val="both"/>
        <w:rPr>
          <w:rFonts w:ascii="Georgia" w:hAnsi="Georgia"/>
          <w:sz w:val="18"/>
          <w:szCs w:val="18"/>
        </w:rPr>
      </w:pPr>
      <w:r w:rsidRPr="00EF2FE8">
        <w:rPr>
          <w:rFonts w:ascii="Georgia" w:hAnsi="Georgia"/>
          <w:sz w:val="18"/>
          <w:szCs w:val="18"/>
        </w:rPr>
        <w:t>(Y</w:t>
      </w:r>
      <w:r w:rsidRPr="00EF2FE8">
        <w:rPr>
          <w:rFonts w:ascii="Georgia" w:hAnsi="Georgia"/>
          <w:sz w:val="18"/>
          <w:szCs w:val="18"/>
          <w:vertAlign w:val="subscript"/>
        </w:rPr>
        <w:t>3</w:t>
      </w:r>
      <w:r w:rsidRPr="00EF2FE8">
        <w:rPr>
          <w:rFonts w:ascii="Georgia" w:hAnsi="Georgia"/>
          <w:sz w:val="18"/>
          <w:szCs w:val="18"/>
        </w:rPr>
        <w:t>) : Pengukuran kemampuan awal kelompok kontrol</w:t>
      </w:r>
    </w:p>
    <w:p w14:paraId="475E1BD3" w14:textId="77777777" w:rsidR="0097226D" w:rsidRPr="00EF2FE8" w:rsidRDefault="0097226D" w:rsidP="00EF2FE8">
      <w:pPr>
        <w:pStyle w:val="NormalWeb"/>
        <w:spacing w:before="0" w:beforeAutospacing="0" w:after="0" w:afterAutospacing="0"/>
        <w:rPr>
          <w:rFonts w:ascii="Georgia" w:hAnsi="Georgia"/>
          <w:sz w:val="18"/>
          <w:szCs w:val="18"/>
          <w:lang w:val="en-US"/>
        </w:rPr>
      </w:pPr>
      <w:r w:rsidRPr="00EF2FE8">
        <w:rPr>
          <w:rFonts w:ascii="Georgia" w:hAnsi="Georgia"/>
          <w:sz w:val="18"/>
          <w:szCs w:val="18"/>
        </w:rPr>
        <w:t>(Y</w:t>
      </w:r>
      <w:r w:rsidRPr="00EF2FE8">
        <w:rPr>
          <w:rFonts w:ascii="Georgia" w:hAnsi="Georgia"/>
          <w:sz w:val="18"/>
          <w:szCs w:val="18"/>
          <w:vertAlign w:val="subscript"/>
        </w:rPr>
        <w:t>4</w:t>
      </w:r>
      <w:r w:rsidRPr="00EF2FE8">
        <w:rPr>
          <w:rFonts w:ascii="Georgia" w:hAnsi="Georgia"/>
          <w:sz w:val="18"/>
          <w:szCs w:val="18"/>
        </w:rPr>
        <w:t>) : Pengukuran kemampuan akhir kelompok kontrol</w:t>
      </w:r>
    </w:p>
    <w:p w14:paraId="005E4579" w14:textId="77777777" w:rsidR="0097226D" w:rsidRPr="00EF2FE8" w:rsidRDefault="0097226D" w:rsidP="0097226D">
      <w:pPr>
        <w:pStyle w:val="NormalWeb"/>
        <w:shd w:val="clear" w:color="auto" w:fill="FFFFFF"/>
        <w:spacing w:before="0" w:beforeAutospacing="0" w:after="0" w:afterAutospacing="0"/>
        <w:jc w:val="both"/>
        <w:rPr>
          <w:rFonts w:ascii="Georgia" w:hAnsi="Georgia"/>
          <w:b/>
          <w:bCs/>
          <w:noProof/>
          <w:sz w:val="18"/>
          <w:szCs w:val="18"/>
          <w:lang w:val="en-US"/>
        </w:rPr>
      </w:pPr>
    </w:p>
    <w:p w14:paraId="576E5AEF" w14:textId="445C71D1" w:rsidR="0097226D" w:rsidRPr="00D36300" w:rsidRDefault="0097226D" w:rsidP="009D2B09">
      <w:pPr>
        <w:pStyle w:val="NormalWeb"/>
        <w:shd w:val="clear" w:color="auto" w:fill="FFFFFF"/>
        <w:spacing w:before="0" w:beforeAutospacing="0" w:after="0" w:afterAutospacing="0"/>
        <w:ind w:firstLine="567"/>
        <w:jc w:val="both"/>
        <w:rPr>
          <w:rFonts w:ascii="Georgia" w:hAnsi="Georgia"/>
          <w:b/>
          <w:bCs/>
          <w:noProof/>
          <w:sz w:val="22"/>
          <w:szCs w:val="22"/>
          <w:lang w:val="en-US"/>
        </w:rPr>
      </w:pPr>
      <w:r w:rsidRPr="00D36300">
        <w:rPr>
          <w:rFonts w:ascii="Georgia" w:hAnsi="Georgia"/>
          <w:sz w:val="22"/>
          <w:szCs w:val="22"/>
        </w:rPr>
        <w:t xml:space="preserve">Populasi dalam penelitian </w:t>
      </w:r>
      <w:r w:rsidR="002E5A4F" w:rsidRPr="00D36300">
        <w:rPr>
          <w:rFonts w:ascii="Georgia" w:hAnsi="Georgia"/>
          <w:sz w:val="22"/>
          <w:szCs w:val="22"/>
        </w:rPr>
        <w:t xml:space="preserve">ini adalah seluruh siswa kelas </w:t>
      </w:r>
      <w:r w:rsidRPr="00D36300">
        <w:rPr>
          <w:rFonts w:ascii="Georgia" w:hAnsi="Georgia"/>
          <w:sz w:val="22"/>
          <w:szCs w:val="22"/>
        </w:rPr>
        <w:t>V SD</w:t>
      </w:r>
      <w:r w:rsidR="0036228A" w:rsidRPr="00D36300">
        <w:rPr>
          <w:rFonts w:ascii="Georgia" w:hAnsi="Georgia"/>
          <w:sz w:val="22"/>
          <w:szCs w:val="22"/>
          <w:lang w:val="en-US"/>
        </w:rPr>
        <w:t xml:space="preserve"> Naskat Mathias 2 Langgur B</w:t>
      </w:r>
      <w:r w:rsidRPr="00D36300">
        <w:rPr>
          <w:rFonts w:ascii="Georgia" w:hAnsi="Georgia"/>
          <w:sz w:val="22"/>
          <w:szCs w:val="22"/>
          <w:lang w:val="en-US"/>
        </w:rPr>
        <w:t xml:space="preserve">. </w:t>
      </w:r>
      <w:r w:rsidRPr="00D36300">
        <w:rPr>
          <w:rFonts w:ascii="Georgia" w:hAnsi="Georgia"/>
          <w:sz w:val="22"/>
          <w:szCs w:val="22"/>
        </w:rPr>
        <w:t xml:space="preserve">Sampel dalam penelitian ini </w:t>
      </w:r>
      <w:r w:rsidR="002E5A4F" w:rsidRPr="00D36300">
        <w:rPr>
          <w:rFonts w:ascii="Georgia" w:hAnsi="Georgia"/>
          <w:sz w:val="22"/>
          <w:szCs w:val="22"/>
          <w:lang w:val="en-US"/>
        </w:rPr>
        <w:t xml:space="preserve">berjumlah 70 </w:t>
      </w:r>
      <w:r w:rsidRPr="00D36300">
        <w:rPr>
          <w:rFonts w:ascii="Georgia" w:hAnsi="Georgia"/>
          <w:sz w:val="22"/>
          <w:szCs w:val="22"/>
        </w:rPr>
        <w:t xml:space="preserve">siswa </w:t>
      </w:r>
      <w:r w:rsidR="002E5A4F" w:rsidRPr="00D36300">
        <w:rPr>
          <w:rFonts w:ascii="Georgia" w:hAnsi="Georgia"/>
          <w:sz w:val="22"/>
          <w:szCs w:val="22"/>
          <w:lang w:val="en-US"/>
        </w:rPr>
        <w:t xml:space="preserve">yang terdiri dari </w:t>
      </w:r>
      <w:r w:rsidRPr="00D36300">
        <w:rPr>
          <w:rFonts w:ascii="Georgia" w:hAnsi="Georgia"/>
          <w:sz w:val="22"/>
          <w:szCs w:val="22"/>
        </w:rPr>
        <w:t>kelompok eksperimen</w:t>
      </w:r>
      <w:r w:rsidR="002E5A4F" w:rsidRPr="00D36300">
        <w:rPr>
          <w:rFonts w:ascii="Georgia" w:hAnsi="Georgia"/>
          <w:sz w:val="22"/>
          <w:szCs w:val="22"/>
          <w:lang w:val="en-US"/>
        </w:rPr>
        <w:t xml:space="preserve"> sebanyak 35 siswa dan </w:t>
      </w:r>
      <w:r w:rsidR="002E5A4F" w:rsidRPr="00D36300">
        <w:rPr>
          <w:rFonts w:ascii="Georgia" w:hAnsi="Georgia"/>
          <w:sz w:val="22"/>
          <w:szCs w:val="22"/>
        </w:rPr>
        <w:t xml:space="preserve"> 3</w:t>
      </w:r>
      <w:r w:rsidR="002E5A4F" w:rsidRPr="00D36300">
        <w:rPr>
          <w:rFonts w:ascii="Georgia" w:hAnsi="Georgia"/>
          <w:sz w:val="22"/>
          <w:szCs w:val="22"/>
          <w:lang w:val="en-US"/>
        </w:rPr>
        <w:t>5</w:t>
      </w:r>
      <w:r w:rsidRPr="00D36300">
        <w:rPr>
          <w:rFonts w:ascii="Georgia" w:hAnsi="Georgia"/>
          <w:sz w:val="22"/>
          <w:szCs w:val="22"/>
        </w:rPr>
        <w:t xml:space="preserve"> siswa sebagai kelompok kontrol. Teknik pengambilan sampel dilakukan dengan teknik random sampling. </w:t>
      </w:r>
      <w:proofErr w:type="gramStart"/>
      <w:r w:rsidRPr="00D36300">
        <w:rPr>
          <w:rFonts w:ascii="Georgia" w:hAnsi="Georgia"/>
          <w:sz w:val="22"/>
          <w:szCs w:val="22"/>
          <w:lang w:val="en-US"/>
        </w:rPr>
        <w:t>Sekolah yang dirujuk dalam penelitian ini karena ma</w:t>
      </w:r>
      <w:r w:rsidR="00D36300" w:rsidRPr="00D36300">
        <w:rPr>
          <w:rFonts w:ascii="Georgia" w:hAnsi="Georgia"/>
          <w:sz w:val="22"/>
          <w:szCs w:val="22"/>
          <w:lang w:val="en-US"/>
        </w:rPr>
        <w:t>suk dalam ketegori level sedang.</w:t>
      </w:r>
      <w:proofErr w:type="gramEnd"/>
      <w:r w:rsidR="00D36300" w:rsidRPr="00D36300">
        <w:rPr>
          <w:rFonts w:ascii="Georgia" w:hAnsi="Georgia"/>
          <w:sz w:val="22"/>
          <w:szCs w:val="22"/>
          <w:lang w:val="en-US"/>
        </w:rPr>
        <w:t xml:space="preserve"> </w:t>
      </w:r>
      <w:r w:rsidRPr="00D36300">
        <w:rPr>
          <w:rFonts w:ascii="Georgia" w:hAnsi="Georgia"/>
          <w:sz w:val="22"/>
          <w:szCs w:val="22"/>
        </w:rPr>
        <w:t>Instrumen penelitian yang digunakan adalah berupa pretest dan posttest yang digunakan untuk mengetahui hasil belajar kognitif siswa. Pretest dilaksanakan pada kelas sebelum diberikan perlakuan. Posttest dilaksanakan pada kelas setelah diberikan perlakuan. Instrumen tes berb</w:t>
      </w:r>
      <w:r w:rsidR="00D36300" w:rsidRPr="00D36300">
        <w:rPr>
          <w:rFonts w:ascii="Georgia" w:hAnsi="Georgia"/>
          <w:sz w:val="22"/>
          <w:szCs w:val="22"/>
        </w:rPr>
        <w:t xml:space="preserve">entuk </w:t>
      </w:r>
      <w:r w:rsidR="00D36300" w:rsidRPr="00D36300">
        <w:rPr>
          <w:rFonts w:ascii="Georgia" w:hAnsi="Georgia"/>
          <w:sz w:val="22"/>
          <w:szCs w:val="22"/>
          <w:lang w:val="en-US"/>
        </w:rPr>
        <w:t>10</w:t>
      </w:r>
      <w:r w:rsidRPr="00D36300">
        <w:rPr>
          <w:rFonts w:ascii="Georgia" w:hAnsi="Georgia"/>
          <w:sz w:val="22"/>
          <w:szCs w:val="22"/>
        </w:rPr>
        <w:t xml:space="preserve"> soal uraian</w:t>
      </w:r>
      <w:r w:rsidRPr="00D36300">
        <w:rPr>
          <w:rFonts w:ascii="Georgia" w:hAnsi="Georgia"/>
          <w:sz w:val="22"/>
          <w:szCs w:val="22"/>
          <w:lang w:val="en-US"/>
        </w:rPr>
        <w:t xml:space="preserve"> yang </w:t>
      </w:r>
      <w:r w:rsidRPr="00D36300">
        <w:rPr>
          <w:rFonts w:ascii="Georgia" w:hAnsi="Georgia"/>
          <w:sz w:val="22"/>
          <w:szCs w:val="22"/>
        </w:rPr>
        <w:t>dikatakan layak karna sudah mencapai indi</w:t>
      </w:r>
      <w:r w:rsidRPr="00D36300">
        <w:rPr>
          <w:rFonts w:ascii="Georgia" w:hAnsi="Georgia"/>
          <w:sz w:val="22"/>
          <w:szCs w:val="22"/>
          <w:lang w:val="en-US"/>
        </w:rPr>
        <w:t>k</w:t>
      </w:r>
      <w:r w:rsidRPr="00D36300">
        <w:rPr>
          <w:rFonts w:ascii="Georgia" w:hAnsi="Georgia"/>
          <w:sz w:val="22"/>
          <w:szCs w:val="22"/>
        </w:rPr>
        <w:t>ator</w:t>
      </w:r>
      <w:r w:rsidRPr="00D36300">
        <w:rPr>
          <w:rFonts w:ascii="Georgia" w:hAnsi="Georgia"/>
          <w:sz w:val="22"/>
          <w:szCs w:val="22"/>
          <w:lang w:val="en-US"/>
        </w:rPr>
        <w:t xml:space="preserve"> valid dan reliabel</w:t>
      </w:r>
      <w:r w:rsidR="00D36300">
        <w:rPr>
          <w:rFonts w:ascii="Georgia" w:hAnsi="Georgia"/>
          <w:sz w:val="22"/>
          <w:szCs w:val="22"/>
          <w:lang w:val="en-US"/>
        </w:rPr>
        <w:t xml:space="preserve"> (</w:t>
      </w:r>
      <w:r w:rsidR="00D36300">
        <w:rPr>
          <w:rFonts w:ascii="Cambria" w:hAnsi="Cambria"/>
          <w:sz w:val="22"/>
          <w:szCs w:val="22"/>
          <w:lang w:val="en-US"/>
        </w:rPr>
        <w:t>0.797)</w:t>
      </w:r>
      <w:r w:rsidRPr="00D36300">
        <w:rPr>
          <w:rFonts w:ascii="Georgia" w:hAnsi="Georgia"/>
          <w:sz w:val="22"/>
          <w:szCs w:val="22"/>
          <w:lang w:val="en-US"/>
        </w:rPr>
        <w:t>.</w:t>
      </w:r>
      <w:r w:rsidRPr="00D36300">
        <w:rPr>
          <w:rFonts w:ascii="Georgia" w:hAnsi="Georgia"/>
          <w:sz w:val="22"/>
          <w:szCs w:val="22"/>
        </w:rPr>
        <w:t xml:space="preserve"> </w:t>
      </w:r>
      <w:proofErr w:type="gramStart"/>
      <w:r w:rsidR="00D36300">
        <w:rPr>
          <w:rFonts w:ascii="Georgia" w:hAnsi="Georgia"/>
          <w:sz w:val="22"/>
          <w:szCs w:val="22"/>
          <w:lang w:val="en-US"/>
        </w:rPr>
        <w:t>Sebelum soal ini diberikan pada kelas eksperimen dilakukan validasi terhadap 3 ahli pendidikan jasmani.</w:t>
      </w:r>
      <w:proofErr w:type="gramEnd"/>
      <w:r w:rsidR="00D36300">
        <w:rPr>
          <w:rFonts w:ascii="Georgia" w:hAnsi="Georgia"/>
          <w:sz w:val="22"/>
          <w:szCs w:val="22"/>
          <w:lang w:val="en-US"/>
        </w:rPr>
        <w:t xml:space="preserve"> </w:t>
      </w:r>
      <w:proofErr w:type="gramStart"/>
      <w:r w:rsidR="00D36300">
        <w:rPr>
          <w:rFonts w:ascii="Georgia" w:hAnsi="Georgia"/>
          <w:sz w:val="22"/>
          <w:szCs w:val="22"/>
          <w:lang w:val="en-US"/>
        </w:rPr>
        <w:t>2 ahli berasal dari Universitas Pattimura dan 1 ahli dari guru SD yang memiliki latar belakang magister.</w:t>
      </w:r>
      <w:proofErr w:type="gramEnd"/>
      <w:r w:rsidR="00D36300">
        <w:rPr>
          <w:rFonts w:ascii="Georgia" w:hAnsi="Georgia"/>
          <w:sz w:val="22"/>
          <w:szCs w:val="22"/>
          <w:lang w:val="en-US"/>
        </w:rPr>
        <w:t xml:space="preserve"> </w:t>
      </w:r>
      <w:proofErr w:type="gramStart"/>
      <w:r w:rsidR="00D36300">
        <w:rPr>
          <w:rFonts w:ascii="Georgia" w:hAnsi="Georgia"/>
          <w:sz w:val="22"/>
          <w:szCs w:val="22"/>
          <w:lang w:val="en-US"/>
        </w:rPr>
        <w:t>Tujuan dari pengambilan ahli dari guru agar memberikan masukan terkait dengan materi dan soal-soal tes sesuai dengan kebutuhan siswa SD.</w:t>
      </w:r>
      <w:r w:rsidR="009D2B09">
        <w:rPr>
          <w:rFonts w:ascii="Georgia" w:hAnsi="Georgia"/>
          <w:b/>
          <w:bCs/>
          <w:noProof/>
          <w:sz w:val="22"/>
          <w:szCs w:val="22"/>
          <w:lang w:val="en-US"/>
        </w:rPr>
        <w:t xml:space="preserve"> </w:t>
      </w:r>
      <w:r w:rsidRPr="00D36300">
        <w:rPr>
          <w:rFonts w:ascii="Georgia" w:hAnsi="Georgia"/>
          <w:sz w:val="22"/>
          <w:szCs w:val="22"/>
        </w:rPr>
        <w:t xml:space="preserve">Data yang diperoleh </w:t>
      </w:r>
      <w:r w:rsidR="00D36300" w:rsidRPr="00D36300">
        <w:rPr>
          <w:rFonts w:ascii="Georgia" w:hAnsi="Georgia"/>
          <w:sz w:val="22"/>
          <w:szCs w:val="22"/>
          <w:lang w:val="en-US"/>
        </w:rPr>
        <w:t xml:space="preserve">kemudian </w:t>
      </w:r>
      <w:r w:rsidRPr="00D36300">
        <w:rPr>
          <w:rFonts w:ascii="Georgia" w:hAnsi="Georgia"/>
          <w:sz w:val="22"/>
          <w:szCs w:val="22"/>
        </w:rPr>
        <w:t>dianalisis berdasarkan teknik analisis data yang termasuk analisis deskriptif, uji asumsi atau prasyarat, dan uji hipotesis.</w:t>
      </w:r>
      <w:proofErr w:type="gramEnd"/>
      <w:r w:rsidRPr="00D36300">
        <w:rPr>
          <w:rFonts w:ascii="Georgia" w:hAnsi="Georgia"/>
          <w:sz w:val="22"/>
          <w:szCs w:val="22"/>
        </w:rPr>
        <w:t xml:space="preserve"> Setelah di uji normalitas dan homogenitas, kemudian dilakukan perbedaan rata-rata untuk pencapain </w:t>
      </w:r>
      <w:r w:rsidRPr="00D36300">
        <w:rPr>
          <w:rFonts w:ascii="Georgia" w:hAnsi="Georgia"/>
          <w:sz w:val="22"/>
          <w:szCs w:val="22"/>
        </w:rPr>
        <w:lastRenderedPageBreak/>
        <w:t>kedua kelas. Analisis yang digunakan adalah analisis ujii anacova taraf signitifikan 0,05 pada software SPSS 23.</w:t>
      </w:r>
    </w:p>
    <w:p w14:paraId="797CDD3A" w14:textId="77777777" w:rsidR="004120BF" w:rsidRPr="002F7B5D" w:rsidRDefault="004120BF" w:rsidP="002F7B5D">
      <w:pPr>
        <w:spacing w:after="0"/>
        <w:jc w:val="both"/>
        <w:rPr>
          <w:rFonts w:ascii="Georgia" w:eastAsia="Arial" w:hAnsi="Georgia" w:cs="Times New Roman"/>
          <w:b/>
          <w:spacing w:val="-1"/>
          <w:lang w:val="en-US"/>
        </w:rPr>
      </w:pPr>
    </w:p>
    <w:p w14:paraId="79E402D1" w14:textId="66232122" w:rsidR="00F70FF8" w:rsidRPr="00723B12"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HASIL PENELITIAN DAN PEMBAHASAN</w:t>
      </w:r>
      <w:r w:rsidR="00723B12">
        <w:rPr>
          <w:rFonts w:ascii="Georgia" w:eastAsia="Arial" w:hAnsi="Georgia" w:cs="Times New Roman"/>
          <w:b/>
          <w:lang w:val="en-US"/>
        </w:rPr>
        <w:t xml:space="preserve"> </w:t>
      </w:r>
    </w:p>
    <w:p w14:paraId="455971CB" w14:textId="061C7037" w:rsidR="00EC5359" w:rsidRDefault="00EC5359" w:rsidP="00EC5359">
      <w:pPr>
        <w:spacing w:after="120" w:line="240" w:lineRule="auto"/>
        <w:ind w:firstLine="567"/>
        <w:jc w:val="both"/>
        <w:rPr>
          <w:rFonts w:ascii="Georgia" w:eastAsia="Calibri" w:hAnsi="Georgia"/>
          <w:noProof/>
          <w:lang w:val="en-US"/>
        </w:rPr>
      </w:pPr>
      <w:r w:rsidRPr="00EC5359">
        <w:rPr>
          <w:rFonts w:ascii="Georgia" w:eastAsia="Calibri" w:hAnsi="Georgia"/>
          <w:noProof/>
          <w:lang w:val="en-US"/>
        </w:rPr>
        <w:t xml:space="preserve">Hasil belajar kognitif dengan </w:t>
      </w:r>
      <w:r>
        <w:rPr>
          <w:rFonts w:ascii="Georgia" w:eastAsia="Calibri" w:hAnsi="Georgia"/>
          <w:noProof/>
          <w:lang w:val="en-US"/>
        </w:rPr>
        <w:t xml:space="preserve">TGT </w:t>
      </w:r>
      <w:r w:rsidRPr="00EC5359">
        <w:rPr>
          <w:rFonts w:ascii="Georgia" w:eastAsia="Calibri" w:hAnsi="Georgia"/>
          <w:noProof/>
          <w:lang w:val="en-US"/>
        </w:rPr>
        <w:t>pada kelas eksperimen dan kontrol berupa</w:t>
      </w:r>
      <w:r>
        <w:rPr>
          <w:rFonts w:ascii="Georgia" w:eastAsia="Calibri" w:hAnsi="Georgia"/>
          <w:noProof/>
          <w:lang w:val="en-US"/>
        </w:rPr>
        <w:t xml:space="preserve"> pretest dan posttest sebanyak 10</w:t>
      </w:r>
      <w:r w:rsidRPr="00EC5359">
        <w:rPr>
          <w:rFonts w:ascii="Georgia" w:eastAsia="Calibri" w:hAnsi="Georgia"/>
          <w:noProof/>
          <w:lang w:val="en-US"/>
        </w:rPr>
        <w:t xml:space="preserve"> soal dapat dilihat pada Gambar 2.</w:t>
      </w:r>
    </w:p>
    <w:p w14:paraId="012FDACF" w14:textId="77777777" w:rsidR="001A1C1B" w:rsidRDefault="001A1C1B" w:rsidP="00EC5359">
      <w:pPr>
        <w:spacing w:after="120" w:line="240" w:lineRule="auto"/>
        <w:ind w:firstLine="567"/>
        <w:jc w:val="both"/>
        <w:rPr>
          <w:rFonts w:ascii="Georgia" w:eastAsia="Calibri" w:hAnsi="Georgia"/>
          <w:noProof/>
          <w:lang w:val="en-US"/>
        </w:rPr>
      </w:pPr>
    </w:p>
    <w:p w14:paraId="23E9D5EC" w14:textId="07BF19B8" w:rsidR="001A1C1B" w:rsidRDefault="001A1C1B" w:rsidP="00EC5359">
      <w:pPr>
        <w:spacing w:after="120" w:line="240" w:lineRule="auto"/>
        <w:ind w:firstLine="567"/>
        <w:jc w:val="both"/>
        <w:rPr>
          <w:rFonts w:ascii="Georgia" w:eastAsia="Calibri" w:hAnsi="Georgia"/>
          <w:noProof/>
          <w:lang w:val="en-US"/>
        </w:rPr>
      </w:pPr>
      <w:r>
        <w:rPr>
          <w:noProof/>
          <w:lang w:val="en-US" w:eastAsia="en-US"/>
        </w:rPr>
        <w:drawing>
          <wp:anchor distT="0" distB="0" distL="114300" distR="114300" simplePos="0" relativeHeight="251671552" behindDoc="0" locked="0" layoutInCell="1" allowOverlap="1" wp14:anchorId="42DE7ED5" wp14:editId="494A5CBE">
            <wp:simplePos x="0" y="0"/>
            <wp:positionH relativeFrom="column">
              <wp:posOffset>403860</wp:posOffset>
            </wp:positionH>
            <wp:positionV relativeFrom="paragraph">
              <wp:posOffset>130175</wp:posOffset>
            </wp:positionV>
            <wp:extent cx="5060950" cy="2432050"/>
            <wp:effectExtent l="0" t="0" r="25400" b="25400"/>
            <wp:wrapNone/>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5CC08458" w14:textId="77777777" w:rsidR="001A1C1B" w:rsidRDefault="001A1C1B" w:rsidP="00EC5359">
      <w:pPr>
        <w:spacing w:after="120" w:line="240" w:lineRule="auto"/>
        <w:ind w:firstLine="567"/>
        <w:jc w:val="both"/>
        <w:rPr>
          <w:rFonts w:ascii="Georgia" w:eastAsia="Calibri" w:hAnsi="Georgia"/>
          <w:noProof/>
          <w:lang w:val="en-US"/>
        </w:rPr>
      </w:pPr>
    </w:p>
    <w:p w14:paraId="60A1FF7E" w14:textId="4093F8DD" w:rsidR="001A1C1B" w:rsidRDefault="001A1C1B" w:rsidP="00EC5359">
      <w:pPr>
        <w:spacing w:after="120" w:line="240" w:lineRule="auto"/>
        <w:ind w:firstLine="567"/>
        <w:jc w:val="both"/>
        <w:rPr>
          <w:rFonts w:ascii="Georgia" w:eastAsia="Calibri" w:hAnsi="Georgia"/>
          <w:noProof/>
          <w:lang w:val="en-US"/>
        </w:rPr>
      </w:pPr>
    </w:p>
    <w:p w14:paraId="41D36D00" w14:textId="77777777" w:rsidR="001A1C1B" w:rsidRPr="00EC5359" w:rsidRDefault="001A1C1B" w:rsidP="00EC5359">
      <w:pPr>
        <w:spacing w:after="120" w:line="240" w:lineRule="auto"/>
        <w:ind w:firstLine="567"/>
        <w:jc w:val="both"/>
        <w:rPr>
          <w:rFonts w:ascii="Georgia" w:eastAsia="Calibri" w:hAnsi="Georgia"/>
          <w:noProof/>
          <w:lang w:val="en-US"/>
        </w:rPr>
      </w:pPr>
    </w:p>
    <w:p w14:paraId="02C048A0" w14:textId="77777777" w:rsidR="00005BD6" w:rsidRDefault="00005BD6" w:rsidP="00B65D97">
      <w:pPr>
        <w:spacing w:after="0"/>
        <w:jc w:val="both"/>
        <w:rPr>
          <w:rFonts w:ascii="Georgia" w:eastAsia="Arial" w:hAnsi="Georgia" w:cs="Times New Roman"/>
          <w:lang w:val="en-US" w:eastAsia="en-US"/>
        </w:rPr>
      </w:pPr>
    </w:p>
    <w:p w14:paraId="50D4C36B" w14:textId="77777777" w:rsidR="001A1C1B" w:rsidRDefault="001A1C1B" w:rsidP="00B65D97">
      <w:pPr>
        <w:spacing w:after="0"/>
        <w:jc w:val="both"/>
        <w:rPr>
          <w:rFonts w:ascii="Georgia" w:eastAsia="Arial" w:hAnsi="Georgia" w:cs="Times New Roman"/>
          <w:lang w:val="en-US" w:eastAsia="en-US"/>
        </w:rPr>
      </w:pPr>
    </w:p>
    <w:p w14:paraId="0D59BC30" w14:textId="77777777" w:rsidR="001A1C1B" w:rsidRDefault="001A1C1B" w:rsidP="00B65D97">
      <w:pPr>
        <w:spacing w:after="0"/>
        <w:jc w:val="both"/>
        <w:rPr>
          <w:rFonts w:ascii="Georgia" w:eastAsia="Arial" w:hAnsi="Georgia" w:cs="Times New Roman"/>
          <w:lang w:val="en-US" w:eastAsia="en-US"/>
        </w:rPr>
      </w:pPr>
    </w:p>
    <w:p w14:paraId="46952885" w14:textId="77777777" w:rsidR="001A1C1B" w:rsidRDefault="001A1C1B" w:rsidP="00B65D97">
      <w:pPr>
        <w:spacing w:after="0"/>
        <w:jc w:val="both"/>
        <w:rPr>
          <w:rFonts w:ascii="Georgia" w:eastAsia="Arial" w:hAnsi="Georgia" w:cs="Times New Roman"/>
          <w:lang w:val="en-US" w:eastAsia="en-US"/>
        </w:rPr>
      </w:pPr>
    </w:p>
    <w:p w14:paraId="6340612A" w14:textId="77777777" w:rsidR="001A1C1B" w:rsidRDefault="001A1C1B" w:rsidP="00B65D97">
      <w:pPr>
        <w:spacing w:after="0"/>
        <w:jc w:val="both"/>
        <w:rPr>
          <w:rFonts w:ascii="Georgia" w:eastAsia="Arial" w:hAnsi="Georgia" w:cs="Times New Roman"/>
          <w:lang w:val="en-US" w:eastAsia="en-US"/>
        </w:rPr>
      </w:pPr>
    </w:p>
    <w:p w14:paraId="3FC739B8" w14:textId="77777777" w:rsidR="001A1C1B" w:rsidRDefault="001A1C1B" w:rsidP="00B65D97">
      <w:pPr>
        <w:spacing w:after="0"/>
        <w:jc w:val="both"/>
        <w:rPr>
          <w:rFonts w:ascii="Georgia" w:eastAsia="Arial" w:hAnsi="Georgia" w:cs="Times New Roman"/>
          <w:lang w:val="en-US" w:eastAsia="en-US"/>
        </w:rPr>
      </w:pPr>
    </w:p>
    <w:p w14:paraId="58FE12C5" w14:textId="77777777" w:rsidR="001A1C1B" w:rsidRDefault="001A1C1B" w:rsidP="00B65D97">
      <w:pPr>
        <w:spacing w:after="0"/>
        <w:jc w:val="both"/>
        <w:rPr>
          <w:rFonts w:ascii="Georgia" w:eastAsia="Arial" w:hAnsi="Georgia" w:cs="Times New Roman"/>
          <w:lang w:val="en-US" w:eastAsia="en-US"/>
        </w:rPr>
      </w:pPr>
    </w:p>
    <w:p w14:paraId="262301FC" w14:textId="77777777" w:rsidR="001A1C1B" w:rsidRDefault="001A1C1B" w:rsidP="00B65D97">
      <w:pPr>
        <w:spacing w:after="0"/>
        <w:jc w:val="both"/>
        <w:rPr>
          <w:rFonts w:ascii="Georgia" w:eastAsia="Arial" w:hAnsi="Georgia" w:cs="Times New Roman"/>
          <w:lang w:val="en-US" w:eastAsia="en-US"/>
        </w:rPr>
      </w:pPr>
    </w:p>
    <w:p w14:paraId="62B12A68" w14:textId="77777777" w:rsidR="001A1C1B" w:rsidRDefault="001A1C1B" w:rsidP="00B65D97">
      <w:pPr>
        <w:spacing w:after="0"/>
        <w:jc w:val="both"/>
        <w:rPr>
          <w:rFonts w:ascii="Georgia" w:eastAsia="Arial" w:hAnsi="Georgia" w:cs="Times New Roman"/>
          <w:lang w:val="en-US" w:eastAsia="en-US"/>
        </w:rPr>
      </w:pPr>
    </w:p>
    <w:p w14:paraId="41B4D01E" w14:textId="77777777" w:rsidR="001A1C1B" w:rsidRDefault="001A1C1B" w:rsidP="00B65D97">
      <w:pPr>
        <w:spacing w:after="0"/>
        <w:jc w:val="both"/>
        <w:rPr>
          <w:rFonts w:ascii="Georgia" w:eastAsia="Arial" w:hAnsi="Georgia" w:cs="Times New Roman"/>
          <w:lang w:val="en-US" w:eastAsia="en-US"/>
        </w:rPr>
      </w:pPr>
    </w:p>
    <w:p w14:paraId="3EDD0E02" w14:textId="77777777" w:rsidR="001A1C1B" w:rsidRPr="001A1C1B" w:rsidRDefault="001A1C1B" w:rsidP="001A1C1B">
      <w:pPr>
        <w:spacing w:line="240" w:lineRule="auto"/>
        <w:jc w:val="center"/>
        <w:rPr>
          <w:rFonts w:ascii="Georgia" w:eastAsia="Calibri" w:hAnsi="Georgia"/>
          <w:b/>
          <w:noProof/>
          <w:lang w:val="en-US"/>
        </w:rPr>
      </w:pPr>
      <w:r w:rsidRPr="001A1C1B">
        <w:rPr>
          <w:rFonts w:ascii="Georgia" w:eastAsia="Calibri" w:hAnsi="Georgia"/>
          <w:b/>
          <w:noProof/>
          <w:lang w:val="en-US"/>
        </w:rPr>
        <w:t>Gambar 2. Hasil prestest dan posttes pada kelas kelas eksperimen dan kontrol</w:t>
      </w:r>
    </w:p>
    <w:p w14:paraId="25AEDBE6" w14:textId="7492C505" w:rsidR="00005BD6" w:rsidRPr="00D44197" w:rsidRDefault="001A1C1B" w:rsidP="009B5B51">
      <w:pPr>
        <w:spacing w:after="0"/>
        <w:ind w:firstLine="284"/>
        <w:jc w:val="both"/>
        <w:rPr>
          <w:rFonts w:ascii="Georgia" w:eastAsia="Arial" w:hAnsi="Georgia" w:cs="Times New Roman"/>
          <w:lang w:val="en-US" w:eastAsia="en-US"/>
        </w:rPr>
      </w:pPr>
      <w:proofErr w:type="gramStart"/>
      <w:r>
        <w:rPr>
          <w:rFonts w:ascii="Georgia" w:eastAsia="Arial" w:hAnsi="Georgia" w:cs="Times New Roman"/>
          <w:lang w:val="en-US" w:eastAsia="en-US"/>
        </w:rPr>
        <w:t>Data Gambar 2 menunjukkan bahwa nilai TGT Postest lebih unggul bila dibandingkan dengan kelas kontrol.</w:t>
      </w:r>
      <w:proofErr w:type="gramEnd"/>
      <w:r>
        <w:rPr>
          <w:rFonts w:ascii="Georgia" w:eastAsia="Arial" w:hAnsi="Georgia" w:cs="Times New Roman"/>
          <w:lang w:val="en-US" w:eastAsia="en-US"/>
        </w:rPr>
        <w:t xml:space="preserve"> </w:t>
      </w:r>
      <w:proofErr w:type="gramStart"/>
      <w:r w:rsidR="009B5B51">
        <w:rPr>
          <w:rFonts w:ascii="Georgia" w:eastAsia="Arial" w:hAnsi="Georgia" w:cs="Times New Roman"/>
          <w:lang w:val="en-US" w:eastAsia="en-US"/>
        </w:rPr>
        <w:t>Dengan demikian TGT ampuh dalam meningkatkan hasil belajar kognitif siswa pada topik lari estafet.</w:t>
      </w:r>
      <w:proofErr w:type="gramEnd"/>
      <w:r w:rsidR="009B5B51">
        <w:rPr>
          <w:rFonts w:ascii="Georgia" w:eastAsia="Arial" w:hAnsi="Georgia" w:cs="Times New Roman"/>
          <w:lang w:val="en-US" w:eastAsia="en-US"/>
        </w:rPr>
        <w:t xml:space="preserve"> </w:t>
      </w:r>
      <w:r w:rsidR="00005BD6" w:rsidRPr="004C27A9">
        <w:rPr>
          <w:rFonts w:ascii="Georgia" w:hAnsi="Georgia"/>
        </w:rPr>
        <w:t xml:space="preserve">Pengambil keputusan apakah hipotesis diterima atau di tolak berdasarkan uji prasyarat analisis (uji normalitas dan uji homogenitas ) menunjukan bahwa kedua kelas tersebut terdistribusi normal dan memiliki varians homogeny, dan selanjutnya dilakukan pengujian hipotesis </w:t>
      </w:r>
      <w:bookmarkStart w:id="0" w:name="_GoBack"/>
      <w:bookmarkEnd w:id="0"/>
      <w:r w:rsidR="00005BD6" w:rsidRPr="004C27A9">
        <w:rPr>
          <w:rFonts w:ascii="Georgia" w:hAnsi="Georgia"/>
        </w:rPr>
        <w:t xml:space="preserve">dengan menggunakan uji ANCOVA yang bertujuan untuk dapat melihat pengaruh model </w:t>
      </w:r>
      <w:r w:rsidR="00B65D97">
        <w:rPr>
          <w:rFonts w:ascii="Georgia" w:hAnsi="Georgia"/>
          <w:lang w:val="en-US"/>
        </w:rPr>
        <w:t>TGT</w:t>
      </w:r>
      <w:r w:rsidR="00005BD6" w:rsidRPr="004C27A9">
        <w:rPr>
          <w:rFonts w:ascii="Georgia" w:hAnsi="Georgia"/>
        </w:rPr>
        <w:t xml:space="preserve"> terhadap hasil belajar </w:t>
      </w:r>
      <w:r w:rsidR="00B65D97">
        <w:rPr>
          <w:rFonts w:ascii="Georgia" w:hAnsi="Georgia"/>
          <w:lang w:val="en-US"/>
        </w:rPr>
        <w:t xml:space="preserve">kognitif </w:t>
      </w:r>
      <w:r w:rsidR="00005BD6" w:rsidRPr="004C27A9">
        <w:rPr>
          <w:rFonts w:ascii="Georgia" w:hAnsi="Georgia"/>
        </w:rPr>
        <w:t xml:space="preserve">siswa. Hasil uji Ancova hasil belajar </w:t>
      </w:r>
      <w:r w:rsidR="00B65D97">
        <w:rPr>
          <w:rFonts w:ascii="Georgia" w:hAnsi="Georgia"/>
          <w:lang w:val="en-US"/>
        </w:rPr>
        <w:t xml:space="preserve">kognitif </w:t>
      </w:r>
      <w:r w:rsidR="00005BD6" w:rsidRPr="004C27A9">
        <w:rPr>
          <w:rFonts w:ascii="Georgia" w:hAnsi="Georgia"/>
        </w:rPr>
        <w:t xml:space="preserve">siswa pada perlakuan model </w:t>
      </w:r>
      <w:r w:rsidR="00B65D97">
        <w:rPr>
          <w:rFonts w:ascii="Georgia" w:hAnsi="Georgia"/>
          <w:lang w:val="en-US"/>
        </w:rPr>
        <w:t>TGT</w:t>
      </w:r>
      <w:r w:rsidR="00B65D97">
        <w:rPr>
          <w:rFonts w:ascii="Georgia" w:hAnsi="Georgia"/>
        </w:rPr>
        <w:t xml:space="preserve"> ditunjukan pada Tabel </w:t>
      </w:r>
      <w:r w:rsidR="00B65D97">
        <w:rPr>
          <w:rFonts w:ascii="Georgia" w:hAnsi="Georgia"/>
          <w:lang w:val="en-US"/>
        </w:rPr>
        <w:t>2</w:t>
      </w:r>
      <w:r w:rsidR="00005BD6" w:rsidRPr="004C27A9">
        <w:rPr>
          <w:rFonts w:ascii="Georgia" w:hAnsi="Georgia"/>
        </w:rPr>
        <w:t>.</w:t>
      </w:r>
    </w:p>
    <w:p w14:paraId="6D57842E" w14:textId="77777777" w:rsidR="00F70FF8" w:rsidRDefault="00F70FF8" w:rsidP="00F70FF8">
      <w:pPr>
        <w:spacing w:after="0" w:line="240" w:lineRule="auto"/>
        <w:ind w:firstLine="709"/>
        <w:jc w:val="both"/>
        <w:rPr>
          <w:rFonts w:ascii="Georgia" w:eastAsia="Arial" w:hAnsi="Georgia" w:cs="Times New Roman"/>
          <w:lang w:val="en-US" w:eastAsia="en-US"/>
        </w:rPr>
      </w:pPr>
    </w:p>
    <w:p w14:paraId="0AB89198" w14:textId="771FD126" w:rsidR="00703ADE" w:rsidRPr="00AB7C2C" w:rsidRDefault="00AB7C2C" w:rsidP="00AB7C2C">
      <w:pPr>
        <w:tabs>
          <w:tab w:val="left" w:pos="810"/>
        </w:tabs>
        <w:spacing w:after="0" w:line="240" w:lineRule="auto"/>
        <w:jc w:val="center"/>
        <w:rPr>
          <w:rFonts w:ascii="Georgia" w:hAnsi="Georgia"/>
          <w:b/>
          <w:lang w:val="en-US"/>
        </w:rPr>
      </w:pPr>
      <w:proofErr w:type="gramStart"/>
      <w:r w:rsidRPr="00AB7C2C">
        <w:rPr>
          <w:rFonts w:ascii="Georgia" w:hAnsi="Georgia"/>
          <w:b/>
          <w:lang w:val="en-US"/>
        </w:rPr>
        <w:t>Tabel 2.</w:t>
      </w:r>
      <w:proofErr w:type="gramEnd"/>
      <w:r w:rsidRPr="00AB7C2C">
        <w:rPr>
          <w:rFonts w:ascii="Georgia" w:hAnsi="Georgia"/>
          <w:b/>
          <w:lang w:val="en-US"/>
        </w:rPr>
        <w:t xml:space="preserve"> </w:t>
      </w:r>
      <w:r w:rsidR="00755E63">
        <w:rPr>
          <w:rFonts w:ascii="Georgia" w:hAnsi="Georgia"/>
          <w:b/>
          <w:lang w:val="en-US"/>
        </w:rPr>
        <w:t>Uji ANOVA</w:t>
      </w:r>
      <w:r w:rsidRPr="00AB7C2C">
        <w:rPr>
          <w:rFonts w:ascii="Georgia" w:hAnsi="Georgia"/>
          <w:b/>
          <w:lang w:val="en-US"/>
        </w:rPr>
        <w:t xml:space="preserve"> Pengaruh Model TGT Terhadap Hasil Belajar Kognitif</w:t>
      </w:r>
    </w:p>
    <w:tbl>
      <w:tblPr>
        <w:tblW w:w="9923" w:type="dxa"/>
        <w:tblInd w:w="30" w:type="dxa"/>
        <w:tblBorders>
          <w:top w:val="single" w:sz="4" w:space="0" w:color="auto"/>
          <w:bottom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268"/>
        <w:gridCol w:w="2268"/>
        <w:gridCol w:w="1134"/>
        <w:gridCol w:w="1701"/>
        <w:gridCol w:w="1134"/>
        <w:gridCol w:w="1418"/>
      </w:tblGrid>
      <w:tr w:rsidR="009B5B51" w:rsidRPr="00AB7C2C" w14:paraId="7153C9C1" w14:textId="77777777" w:rsidTr="009B5B51">
        <w:trPr>
          <w:cantSplit/>
          <w:tblHeader/>
        </w:trPr>
        <w:tc>
          <w:tcPr>
            <w:tcW w:w="2268" w:type="dxa"/>
            <w:tcBorders>
              <w:bottom w:val="single" w:sz="4" w:space="0" w:color="auto"/>
              <w:right w:val="nil"/>
            </w:tcBorders>
            <w:shd w:val="clear" w:color="auto" w:fill="FFFFFF"/>
            <w:tcMar>
              <w:top w:w="30" w:type="dxa"/>
              <w:left w:w="30" w:type="dxa"/>
              <w:bottom w:w="30" w:type="dxa"/>
              <w:right w:w="30" w:type="dxa"/>
            </w:tcMar>
            <w:vAlign w:val="center"/>
          </w:tcPr>
          <w:p w14:paraId="4896A59B" w14:textId="77777777" w:rsidR="00703ADE" w:rsidRPr="00AB7C2C" w:rsidRDefault="00703ADE" w:rsidP="009B5B51">
            <w:pPr>
              <w:autoSpaceDE w:val="0"/>
              <w:autoSpaceDN w:val="0"/>
              <w:adjustRightInd w:val="0"/>
              <w:spacing w:after="0" w:line="240" w:lineRule="auto"/>
              <w:jc w:val="center"/>
              <w:rPr>
                <w:rFonts w:ascii="Georgia" w:hAnsi="Georgia" w:cs="Arial"/>
                <w:b/>
                <w:color w:val="000000"/>
              </w:rPr>
            </w:pPr>
            <w:r w:rsidRPr="00AB7C2C">
              <w:rPr>
                <w:rFonts w:ascii="Georgia" w:hAnsi="Georgia" w:cs="Arial"/>
                <w:b/>
                <w:color w:val="000000"/>
              </w:rPr>
              <w:t>Source</w:t>
            </w:r>
          </w:p>
        </w:tc>
        <w:tc>
          <w:tcPr>
            <w:tcW w:w="2268" w:type="dxa"/>
            <w:tcBorders>
              <w:left w:val="nil"/>
              <w:bottom w:val="single" w:sz="4" w:space="0" w:color="auto"/>
              <w:right w:val="nil"/>
            </w:tcBorders>
            <w:shd w:val="clear" w:color="auto" w:fill="FFFFFF"/>
            <w:tcMar>
              <w:top w:w="30" w:type="dxa"/>
              <w:left w:w="30" w:type="dxa"/>
              <w:bottom w:w="30" w:type="dxa"/>
              <w:right w:w="30" w:type="dxa"/>
            </w:tcMar>
            <w:vAlign w:val="bottom"/>
          </w:tcPr>
          <w:p w14:paraId="565C097E" w14:textId="77777777" w:rsidR="00703ADE" w:rsidRPr="00AB7C2C" w:rsidRDefault="00703ADE" w:rsidP="00AB7C2C">
            <w:pPr>
              <w:autoSpaceDE w:val="0"/>
              <w:autoSpaceDN w:val="0"/>
              <w:adjustRightInd w:val="0"/>
              <w:spacing w:after="0" w:line="240" w:lineRule="auto"/>
              <w:jc w:val="center"/>
              <w:rPr>
                <w:rFonts w:ascii="Georgia" w:hAnsi="Georgia" w:cs="Arial"/>
                <w:b/>
                <w:color w:val="000000"/>
              </w:rPr>
            </w:pPr>
            <w:r w:rsidRPr="00AB7C2C">
              <w:rPr>
                <w:rFonts w:ascii="Georgia" w:hAnsi="Georgia" w:cs="Arial"/>
                <w:b/>
                <w:color w:val="000000"/>
              </w:rPr>
              <w:t>Type III Sum of Squares</w:t>
            </w:r>
          </w:p>
        </w:tc>
        <w:tc>
          <w:tcPr>
            <w:tcW w:w="1134" w:type="dxa"/>
            <w:tcBorders>
              <w:left w:val="nil"/>
              <w:bottom w:val="single" w:sz="4" w:space="0" w:color="auto"/>
              <w:right w:val="nil"/>
            </w:tcBorders>
            <w:shd w:val="clear" w:color="auto" w:fill="FFFFFF"/>
            <w:tcMar>
              <w:top w:w="30" w:type="dxa"/>
              <w:left w:w="30" w:type="dxa"/>
              <w:bottom w:w="30" w:type="dxa"/>
              <w:right w:w="30" w:type="dxa"/>
            </w:tcMar>
            <w:vAlign w:val="center"/>
          </w:tcPr>
          <w:p w14:paraId="23E50CFA" w14:textId="77777777" w:rsidR="00703ADE" w:rsidRPr="00AB7C2C" w:rsidRDefault="00703ADE" w:rsidP="009B5B51">
            <w:pPr>
              <w:autoSpaceDE w:val="0"/>
              <w:autoSpaceDN w:val="0"/>
              <w:adjustRightInd w:val="0"/>
              <w:spacing w:after="0" w:line="240" w:lineRule="auto"/>
              <w:jc w:val="center"/>
              <w:rPr>
                <w:rFonts w:ascii="Georgia" w:hAnsi="Georgia" w:cs="Arial"/>
                <w:b/>
                <w:color w:val="000000"/>
              </w:rPr>
            </w:pPr>
            <w:r w:rsidRPr="00AB7C2C">
              <w:rPr>
                <w:rFonts w:ascii="Georgia" w:hAnsi="Georgia" w:cs="Arial"/>
                <w:b/>
                <w:color w:val="000000"/>
              </w:rPr>
              <w:t>df</w:t>
            </w:r>
          </w:p>
        </w:tc>
        <w:tc>
          <w:tcPr>
            <w:tcW w:w="1701" w:type="dxa"/>
            <w:tcBorders>
              <w:left w:val="nil"/>
              <w:bottom w:val="single" w:sz="4" w:space="0" w:color="auto"/>
              <w:right w:val="nil"/>
            </w:tcBorders>
            <w:shd w:val="clear" w:color="auto" w:fill="FFFFFF"/>
            <w:tcMar>
              <w:top w:w="30" w:type="dxa"/>
              <w:left w:w="30" w:type="dxa"/>
              <w:bottom w:w="30" w:type="dxa"/>
              <w:right w:w="30" w:type="dxa"/>
            </w:tcMar>
            <w:vAlign w:val="center"/>
          </w:tcPr>
          <w:p w14:paraId="252FA35F" w14:textId="77777777" w:rsidR="00703ADE" w:rsidRPr="00AB7C2C" w:rsidRDefault="00703ADE" w:rsidP="009B5B51">
            <w:pPr>
              <w:autoSpaceDE w:val="0"/>
              <w:autoSpaceDN w:val="0"/>
              <w:adjustRightInd w:val="0"/>
              <w:spacing w:after="0" w:line="240" w:lineRule="auto"/>
              <w:jc w:val="center"/>
              <w:rPr>
                <w:rFonts w:ascii="Georgia" w:hAnsi="Georgia" w:cs="Arial"/>
                <w:b/>
                <w:color w:val="000000"/>
              </w:rPr>
            </w:pPr>
            <w:r w:rsidRPr="00AB7C2C">
              <w:rPr>
                <w:rFonts w:ascii="Georgia" w:hAnsi="Georgia" w:cs="Arial"/>
                <w:b/>
                <w:color w:val="000000"/>
              </w:rPr>
              <w:t>Mean Square</w:t>
            </w:r>
          </w:p>
        </w:tc>
        <w:tc>
          <w:tcPr>
            <w:tcW w:w="1134" w:type="dxa"/>
            <w:tcBorders>
              <w:left w:val="nil"/>
              <w:bottom w:val="single" w:sz="4" w:space="0" w:color="auto"/>
              <w:right w:val="nil"/>
            </w:tcBorders>
            <w:shd w:val="clear" w:color="auto" w:fill="FFFFFF"/>
            <w:tcMar>
              <w:top w:w="30" w:type="dxa"/>
              <w:left w:w="30" w:type="dxa"/>
              <w:bottom w:w="30" w:type="dxa"/>
              <w:right w:w="30" w:type="dxa"/>
            </w:tcMar>
            <w:vAlign w:val="center"/>
          </w:tcPr>
          <w:p w14:paraId="2F9B311B" w14:textId="77777777" w:rsidR="00703ADE" w:rsidRPr="00AB7C2C" w:rsidRDefault="00703ADE" w:rsidP="009B5B51">
            <w:pPr>
              <w:autoSpaceDE w:val="0"/>
              <w:autoSpaceDN w:val="0"/>
              <w:adjustRightInd w:val="0"/>
              <w:spacing w:after="0" w:line="240" w:lineRule="auto"/>
              <w:jc w:val="center"/>
              <w:rPr>
                <w:rFonts w:ascii="Georgia" w:hAnsi="Georgia" w:cs="Arial"/>
                <w:b/>
                <w:color w:val="000000"/>
              </w:rPr>
            </w:pPr>
            <w:r w:rsidRPr="00AB7C2C">
              <w:rPr>
                <w:rFonts w:ascii="Georgia" w:hAnsi="Georgia" w:cs="Arial"/>
                <w:b/>
                <w:color w:val="000000"/>
              </w:rPr>
              <w:t>F</w:t>
            </w:r>
          </w:p>
        </w:tc>
        <w:tc>
          <w:tcPr>
            <w:tcW w:w="1418" w:type="dxa"/>
            <w:tcBorders>
              <w:left w:val="nil"/>
              <w:bottom w:val="single" w:sz="4" w:space="0" w:color="auto"/>
            </w:tcBorders>
            <w:shd w:val="clear" w:color="auto" w:fill="FFFFFF"/>
            <w:tcMar>
              <w:top w:w="30" w:type="dxa"/>
              <w:left w:w="30" w:type="dxa"/>
              <w:bottom w:w="30" w:type="dxa"/>
              <w:right w:w="30" w:type="dxa"/>
            </w:tcMar>
            <w:vAlign w:val="center"/>
          </w:tcPr>
          <w:p w14:paraId="6FB7981F" w14:textId="77777777" w:rsidR="00703ADE" w:rsidRPr="00AB7C2C" w:rsidRDefault="00703ADE" w:rsidP="009B5B51">
            <w:pPr>
              <w:autoSpaceDE w:val="0"/>
              <w:autoSpaceDN w:val="0"/>
              <w:adjustRightInd w:val="0"/>
              <w:spacing w:after="0" w:line="240" w:lineRule="auto"/>
              <w:jc w:val="center"/>
              <w:rPr>
                <w:rFonts w:ascii="Georgia" w:hAnsi="Georgia" w:cs="Arial"/>
                <w:b/>
                <w:color w:val="000000"/>
              </w:rPr>
            </w:pPr>
            <w:r w:rsidRPr="00AB7C2C">
              <w:rPr>
                <w:rFonts w:ascii="Georgia" w:hAnsi="Georgia" w:cs="Arial"/>
                <w:b/>
                <w:color w:val="000000"/>
              </w:rPr>
              <w:t>Sig.</w:t>
            </w:r>
          </w:p>
        </w:tc>
      </w:tr>
      <w:tr w:rsidR="009B5B51" w:rsidRPr="00AB7C2C" w14:paraId="7CF4AD4B" w14:textId="77777777" w:rsidTr="009B5B51">
        <w:trPr>
          <w:cantSplit/>
          <w:tblHeader/>
        </w:trPr>
        <w:tc>
          <w:tcPr>
            <w:tcW w:w="2268" w:type="dxa"/>
            <w:tcBorders>
              <w:bottom w:val="nil"/>
              <w:right w:val="nil"/>
            </w:tcBorders>
            <w:shd w:val="clear" w:color="auto" w:fill="FFFFFF"/>
            <w:tcMar>
              <w:top w:w="30" w:type="dxa"/>
              <w:left w:w="30" w:type="dxa"/>
              <w:bottom w:w="30" w:type="dxa"/>
              <w:right w:w="30" w:type="dxa"/>
            </w:tcMar>
          </w:tcPr>
          <w:p w14:paraId="366FF1EA" w14:textId="77777777" w:rsidR="00703ADE" w:rsidRPr="00AB7C2C" w:rsidRDefault="00703ADE" w:rsidP="00AB7C2C">
            <w:pPr>
              <w:autoSpaceDE w:val="0"/>
              <w:autoSpaceDN w:val="0"/>
              <w:adjustRightInd w:val="0"/>
              <w:spacing w:after="0" w:line="240" w:lineRule="auto"/>
              <w:rPr>
                <w:rFonts w:ascii="Georgia" w:hAnsi="Georgia" w:cs="Arial"/>
                <w:color w:val="000000"/>
              </w:rPr>
            </w:pPr>
            <w:r w:rsidRPr="00AB7C2C">
              <w:rPr>
                <w:rFonts w:ascii="Georgia" w:hAnsi="Georgia" w:cs="Arial"/>
                <w:color w:val="000000"/>
              </w:rPr>
              <w:t>Corrected Model</w:t>
            </w:r>
          </w:p>
        </w:tc>
        <w:tc>
          <w:tcPr>
            <w:tcW w:w="2268" w:type="dxa"/>
            <w:tcBorders>
              <w:left w:val="nil"/>
              <w:bottom w:val="nil"/>
              <w:right w:val="nil"/>
            </w:tcBorders>
            <w:shd w:val="clear" w:color="auto" w:fill="FFFFFF"/>
            <w:tcMar>
              <w:top w:w="30" w:type="dxa"/>
              <w:left w:w="30" w:type="dxa"/>
              <w:bottom w:w="30" w:type="dxa"/>
              <w:right w:w="30" w:type="dxa"/>
            </w:tcMar>
            <w:vAlign w:val="center"/>
          </w:tcPr>
          <w:p w14:paraId="7FA08122"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4824.222</w:t>
            </w:r>
            <w:r w:rsidRPr="00AB7C2C">
              <w:rPr>
                <w:rFonts w:ascii="Georgia" w:hAnsi="Georgia" w:cs="Arial"/>
                <w:color w:val="000000"/>
                <w:vertAlign w:val="superscript"/>
              </w:rPr>
              <w:t>a</w:t>
            </w:r>
          </w:p>
        </w:tc>
        <w:tc>
          <w:tcPr>
            <w:tcW w:w="1134" w:type="dxa"/>
            <w:tcBorders>
              <w:left w:val="nil"/>
              <w:bottom w:val="nil"/>
              <w:right w:val="nil"/>
            </w:tcBorders>
            <w:shd w:val="clear" w:color="auto" w:fill="FFFFFF"/>
            <w:tcMar>
              <w:top w:w="30" w:type="dxa"/>
              <w:left w:w="30" w:type="dxa"/>
              <w:bottom w:w="30" w:type="dxa"/>
              <w:right w:w="30" w:type="dxa"/>
            </w:tcMar>
            <w:vAlign w:val="center"/>
          </w:tcPr>
          <w:p w14:paraId="4B870178"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3</w:t>
            </w:r>
          </w:p>
        </w:tc>
        <w:tc>
          <w:tcPr>
            <w:tcW w:w="1701" w:type="dxa"/>
            <w:tcBorders>
              <w:left w:val="nil"/>
              <w:bottom w:val="nil"/>
              <w:right w:val="nil"/>
            </w:tcBorders>
            <w:shd w:val="clear" w:color="auto" w:fill="FFFFFF"/>
            <w:tcMar>
              <w:top w:w="30" w:type="dxa"/>
              <w:left w:w="30" w:type="dxa"/>
              <w:bottom w:w="30" w:type="dxa"/>
              <w:right w:w="30" w:type="dxa"/>
            </w:tcMar>
            <w:vAlign w:val="center"/>
          </w:tcPr>
          <w:p w14:paraId="155025B3"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1608.074</w:t>
            </w:r>
          </w:p>
        </w:tc>
        <w:tc>
          <w:tcPr>
            <w:tcW w:w="1134" w:type="dxa"/>
            <w:tcBorders>
              <w:left w:val="nil"/>
              <w:bottom w:val="nil"/>
              <w:right w:val="nil"/>
            </w:tcBorders>
            <w:shd w:val="clear" w:color="auto" w:fill="FFFFFF"/>
            <w:tcMar>
              <w:top w:w="30" w:type="dxa"/>
              <w:left w:w="30" w:type="dxa"/>
              <w:bottom w:w="30" w:type="dxa"/>
              <w:right w:w="30" w:type="dxa"/>
            </w:tcMar>
            <w:vAlign w:val="center"/>
          </w:tcPr>
          <w:p w14:paraId="3EC2F3FB"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329.861</w:t>
            </w:r>
          </w:p>
        </w:tc>
        <w:tc>
          <w:tcPr>
            <w:tcW w:w="1418" w:type="dxa"/>
            <w:tcBorders>
              <w:left w:val="nil"/>
              <w:bottom w:val="nil"/>
            </w:tcBorders>
            <w:shd w:val="clear" w:color="auto" w:fill="FFFFFF"/>
            <w:tcMar>
              <w:top w:w="30" w:type="dxa"/>
              <w:left w:w="30" w:type="dxa"/>
              <w:bottom w:w="30" w:type="dxa"/>
              <w:right w:w="30" w:type="dxa"/>
            </w:tcMar>
            <w:vAlign w:val="center"/>
          </w:tcPr>
          <w:p w14:paraId="5816C79D"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.000</w:t>
            </w:r>
          </w:p>
        </w:tc>
      </w:tr>
      <w:tr w:rsidR="009B5B51" w:rsidRPr="00AB7C2C" w14:paraId="459C7F3A" w14:textId="77777777" w:rsidTr="009B5B51">
        <w:trPr>
          <w:cantSplit/>
          <w:tblHeader/>
        </w:trPr>
        <w:tc>
          <w:tcPr>
            <w:tcW w:w="2268" w:type="dxa"/>
            <w:tcBorders>
              <w:top w:val="nil"/>
              <w:bottom w:val="nil"/>
              <w:right w:val="nil"/>
            </w:tcBorders>
            <w:shd w:val="clear" w:color="auto" w:fill="FFFFFF"/>
            <w:tcMar>
              <w:top w:w="30" w:type="dxa"/>
              <w:left w:w="30" w:type="dxa"/>
              <w:bottom w:w="30" w:type="dxa"/>
              <w:right w:w="30" w:type="dxa"/>
            </w:tcMar>
          </w:tcPr>
          <w:p w14:paraId="51A91F97" w14:textId="77777777" w:rsidR="00703ADE" w:rsidRPr="00AB7C2C" w:rsidRDefault="00703ADE" w:rsidP="00AB7C2C">
            <w:pPr>
              <w:autoSpaceDE w:val="0"/>
              <w:autoSpaceDN w:val="0"/>
              <w:adjustRightInd w:val="0"/>
              <w:spacing w:after="0" w:line="240" w:lineRule="auto"/>
              <w:rPr>
                <w:rFonts w:ascii="Georgia" w:hAnsi="Georgia" w:cs="Arial"/>
                <w:color w:val="000000"/>
              </w:rPr>
            </w:pPr>
            <w:r w:rsidRPr="00AB7C2C">
              <w:rPr>
                <w:rFonts w:ascii="Georgia" w:hAnsi="Georgia" w:cs="Arial"/>
                <w:color w:val="000000"/>
              </w:rPr>
              <w:t>Intercept</w:t>
            </w:r>
          </w:p>
        </w:tc>
        <w:tc>
          <w:tcPr>
            <w:tcW w:w="2268" w:type="dxa"/>
            <w:tcBorders>
              <w:top w:val="nil"/>
              <w:left w:val="nil"/>
              <w:bottom w:val="nil"/>
              <w:right w:val="nil"/>
            </w:tcBorders>
            <w:shd w:val="clear" w:color="auto" w:fill="FFFFFF"/>
            <w:tcMar>
              <w:top w:w="30" w:type="dxa"/>
              <w:left w:w="30" w:type="dxa"/>
              <w:bottom w:w="30" w:type="dxa"/>
              <w:right w:w="30" w:type="dxa"/>
            </w:tcMar>
            <w:vAlign w:val="center"/>
          </w:tcPr>
          <w:p w14:paraId="602DBBBF"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212213.778</w:t>
            </w:r>
          </w:p>
        </w:tc>
        <w:tc>
          <w:tcPr>
            <w:tcW w:w="1134" w:type="dxa"/>
            <w:tcBorders>
              <w:top w:val="nil"/>
              <w:left w:val="nil"/>
              <w:bottom w:val="nil"/>
              <w:right w:val="nil"/>
            </w:tcBorders>
            <w:shd w:val="clear" w:color="auto" w:fill="FFFFFF"/>
            <w:tcMar>
              <w:top w:w="30" w:type="dxa"/>
              <w:left w:w="30" w:type="dxa"/>
              <w:bottom w:w="30" w:type="dxa"/>
              <w:right w:w="30" w:type="dxa"/>
            </w:tcMar>
            <w:vAlign w:val="center"/>
          </w:tcPr>
          <w:p w14:paraId="55886AB3"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1</w:t>
            </w:r>
          </w:p>
        </w:tc>
        <w:tc>
          <w:tcPr>
            <w:tcW w:w="1701" w:type="dxa"/>
            <w:tcBorders>
              <w:top w:val="nil"/>
              <w:left w:val="nil"/>
              <w:bottom w:val="nil"/>
              <w:right w:val="nil"/>
            </w:tcBorders>
            <w:shd w:val="clear" w:color="auto" w:fill="FFFFFF"/>
            <w:tcMar>
              <w:top w:w="30" w:type="dxa"/>
              <w:left w:w="30" w:type="dxa"/>
              <w:bottom w:w="30" w:type="dxa"/>
              <w:right w:w="30" w:type="dxa"/>
            </w:tcMar>
            <w:vAlign w:val="center"/>
          </w:tcPr>
          <w:p w14:paraId="6D722679"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212213.778</w:t>
            </w:r>
          </w:p>
        </w:tc>
        <w:tc>
          <w:tcPr>
            <w:tcW w:w="1134" w:type="dxa"/>
            <w:tcBorders>
              <w:top w:val="nil"/>
              <w:left w:val="nil"/>
              <w:bottom w:val="nil"/>
              <w:right w:val="nil"/>
            </w:tcBorders>
            <w:shd w:val="clear" w:color="auto" w:fill="FFFFFF"/>
            <w:tcMar>
              <w:top w:w="30" w:type="dxa"/>
              <w:left w:w="30" w:type="dxa"/>
              <w:bottom w:w="30" w:type="dxa"/>
              <w:right w:w="30" w:type="dxa"/>
            </w:tcMar>
            <w:vAlign w:val="center"/>
          </w:tcPr>
          <w:p w14:paraId="4F3ADACE"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4.353E4</w:t>
            </w:r>
          </w:p>
        </w:tc>
        <w:tc>
          <w:tcPr>
            <w:tcW w:w="1418" w:type="dxa"/>
            <w:tcBorders>
              <w:top w:val="nil"/>
              <w:left w:val="nil"/>
              <w:bottom w:val="nil"/>
            </w:tcBorders>
            <w:shd w:val="clear" w:color="auto" w:fill="FFFFFF"/>
            <w:tcMar>
              <w:top w:w="30" w:type="dxa"/>
              <w:left w:w="30" w:type="dxa"/>
              <w:bottom w:w="30" w:type="dxa"/>
              <w:right w:w="30" w:type="dxa"/>
            </w:tcMar>
            <w:vAlign w:val="center"/>
          </w:tcPr>
          <w:p w14:paraId="1FE8EB6D"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.000</w:t>
            </w:r>
          </w:p>
        </w:tc>
      </w:tr>
      <w:tr w:rsidR="009B5B51" w:rsidRPr="00AB7C2C" w14:paraId="024E4D35" w14:textId="77777777" w:rsidTr="009B5B51">
        <w:trPr>
          <w:cantSplit/>
          <w:tblHeader/>
        </w:trPr>
        <w:tc>
          <w:tcPr>
            <w:tcW w:w="2268" w:type="dxa"/>
            <w:tcBorders>
              <w:top w:val="nil"/>
              <w:bottom w:val="nil"/>
              <w:right w:val="nil"/>
            </w:tcBorders>
            <w:shd w:val="clear" w:color="auto" w:fill="FFFFFF"/>
            <w:tcMar>
              <w:top w:w="30" w:type="dxa"/>
              <w:left w:w="30" w:type="dxa"/>
              <w:bottom w:w="30" w:type="dxa"/>
              <w:right w:w="30" w:type="dxa"/>
            </w:tcMar>
          </w:tcPr>
          <w:p w14:paraId="1FC9AA9D" w14:textId="4B755532" w:rsidR="00703ADE" w:rsidRPr="00AB7C2C" w:rsidRDefault="00AB7C2C" w:rsidP="00AB7C2C">
            <w:pPr>
              <w:autoSpaceDE w:val="0"/>
              <w:autoSpaceDN w:val="0"/>
              <w:adjustRightInd w:val="0"/>
              <w:spacing w:after="0" w:line="240" w:lineRule="auto"/>
              <w:rPr>
                <w:rFonts w:ascii="Georgia" w:hAnsi="Georgia" w:cs="Arial"/>
                <w:color w:val="000000"/>
              </w:rPr>
            </w:pPr>
            <w:r w:rsidRPr="00AB7C2C">
              <w:rPr>
                <w:rFonts w:ascii="Georgia" w:hAnsi="Georgia" w:cs="Arial"/>
                <w:color w:val="000000"/>
              </w:rPr>
              <w:t>Model</w:t>
            </w:r>
          </w:p>
        </w:tc>
        <w:tc>
          <w:tcPr>
            <w:tcW w:w="2268" w:type="dxa"/>
            <w:tcBorders>
              <w:top w:val="nil"/>
              <w:left w:val="nil"/>
              <w:bottom w:val="nil"/>
              <w:right w:val="nil"/>
            </w:tcBorders>
            <w:shd w:val="clear" w:color="auto" w:fill="FFFFFF"/>
            <w:tcMar>
              <w:top w:w="30" w:type="dxa"/>
              <w:left w:w="30" w:type="dxa"/>
              <w:bottom w:w="30" w:type="dxa"/>
              <w:right w:w="30" w:type="dxa"/>
            </w:tcMar>
            <w:vAlign w:val="center"/>
          </w:tcPr>
          <w:p w14:paraId="16A31B02"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658.778</w:t>
            </w:r>
          </w:p>
        </w:tc>
        <w:tc>
          <w:tcPr>
            <w:tcW w:w="1134" w:type="dxa"/>
            <w:tcBorders>
              <w:top w:val="nil"/>
              <w:left w:val="nil"/>
              <w:bottom w:val="nil"/>
              <w:right w:val="nil"/>
            </w:tcBorders>
            <w:shd w:val="clear" w:color="auto" w:fill="FFFFFF"/>
            <w:tcMar>
              <w:top w:w="30" w:type="dxa"/>
              <w:left w:w="30" w:type="dxa"/>
              <w:bottom w:w="30" w:type="dxa"/>
              <w:right w:w="30" w:type="dxa"/>
            </w:tcMar>
            <w:vAlign w:val="center"/>
          </w:tcPr>
          <w:p w14:paraId="0A4FEAA1"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1</w:t>
            </w:r>
          </w:p>
        </w:tc>
        <w:tc>
          <w:tcPr>
            <w:tcW w:w="1701" w:type="dxa"/>
            <w:tcBorders>
              <w:top w:val="nil"/>
              <w:left w:val="nil"/>
              <w:bottom w:val="nil"/>
              <w:right w:val="nil"/>
            </w:tcBorders>
            <w:shd w:val="clear" w:color="auto" w:fill="FFFFFF"/>
            <w:tcMar>
              <w:top w:w="30" w:type="dxa"/>
              <w:left w:w="30" w:type="dxa"/>
              <w:bottom w:w="30" w:type="dxa"/>
              <w:right w:w="30" w:type="dxa"/>
            </w:tcMar>
            <w:vAlign w:val="center"/>
          </w:tcPr>
          <w:p w14:paraId="36E8E03B"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658.778</w:t>
            </w:r>
          </w:p>
        </w:tc>
        <w:tc>
          <w:tcPr>
            <w:tcW w:w="1134" w:type="dxa"/>
            <w:tcBorders>
              <w:top w:val="nil"/>
              <w:left w:val="nil"/>
              <w:bottom w:val="nil"/>
              <w:right w:val="nil"/>
            </w:tcBorders>
            <w:shd w:val="clear" w:color="auto" w:fill="FFFFFF"/>
            <w:tcMar>
              <w:top w:w="30" w:type="dxa"/>
              <w:left w:w="30" w:type="dxa"/>
              <w:bottom w:w="30" w:type="dxa"/>
              <w:right w:w="30" w:type="dxa"/>
            </w:tcMar>
            <w:vAlign w:val="center"/>
          </w:tcPr>
          <w:p w14:paraId="1EEF04B0"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135.134</w:t>
            </w:r>
          </w:p>
        </w:tc>
        <w:tc>
          <w:tcPr>
            <w:tcW w:w="1418" w:type="dxa"/>
            <w:tcBorders>
              <w:top w:val="nil"/>
              <w:left w:val="nil"/>
              <w:bottom w:val="nil"/>
            </w:tcBorders>
            <w:shd w:val="clear" w:color="auto" w:fill="FFFFFF"/>
            <w:tcMar>
              <w:top w:w="30" w:type="dxa"/>
              <w:left w:w="30" w:type="dxa"/>
              <w:bottom w:w="30" w:type="dxa"/>
              <w:right w:w="30" w:type="dxa"/>
            </w:tcMar>
            <w:vAlign w:val="center"/>
          </w:tcPr>
          <w:p w14:paraId="529391D4"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.000</w:t>
            </w:r>
          </w:p>
        </w:tc>
      </w:tr>
      <w:tr w:rsidR="009B5B51" w:rsidRPr="00AB7C2C" w14:paraId="6E444A36" w14:textId="77777777" w:rsidTr="009B5B51">
        <w:trPr>
          <w:cantSplit/>
          <w:tblHeader/>
        </w:trPr>
        <w:tc>
          <w:tcPr>
            <w:tcW w:w="2268" w:type="dxa"/>
            <w:tcBorders>
              <w:top w:val="nil"/>
              <w:bottom w:val="nil"/>
              <w:right w:val="nil"/>
            </w:tcBorders>
            <w:shd w:val="clear" w:color="auto" w:fill="FFFFFF"/>
            <w:tcMar>
              <w:top w:w="30" w:type="dxa"/>
              <w:left w:w="30" w:type="dxa"/>
              <w:bottom w:w="30" w:type="dxa"/>
              <w:right w:w="30" w:type="dxa"/>
            </w:tcMar>
          </w:tcPr>
          <w:p w14:paraId="10F49FE8" w14:textId="079A4BCF" w:rsidR="00703ADE" w:rsidRPr="00AB7C2C" w:rsidRDefault="00AB7C2C" w:rsidP="00AB7C2C">
            <w:pPr>
              <w:autoSpaceDE w:val="0"/>
              <w:autoSpaceDN w:val="0"/>
              <w:adjustRightInd w:val="0"/>
              <w:spacing w:after="0" w:line="240" w:lineRule="auto"/>
              <w:rPr>
                <w:rFonts w:ascii="Georgia" w:hAnsi="Georgia" w:cs="Arial"/>
                <w:color w:val="000000"/>
                <w:lang w:val="en-US"/>
              </w:rPr>
            </w:pPr>
            <w:r>
              <w:rPr>
                <w:rFonts w:ascii="Georgia" w:hAnsi="Georgia" w:cs="Arial"/>
                <w:color w:val="000000"/>
                <w:lang w:val="en-US"/>
              </w:rPr>
              <w:t>Tes Awal</w:t>
            </w:r>
          </w:p>
        </w:tc>
        <w:tc>
          <w:tcPr>
            <w:tcW w:w="2268" w:type="dxa"/>
            <w:tcBorders>
              <w:top w:val="nil"/>
              <w:left w:val="nil"/>
              <w:bottom w:val="nil"/>
              <w:right w:val="nil"/>
            </w:tcBorders>
            <w:shd w:val="clear" w:color="auto" w:fill="FFFFFF"/>
            <w:tcMar>
              <w:top w:w="30" w:type="dxa"/>
              <w:left w:w="30" w:type="dxa"/>
              <w:bottom w:w="30" w:type="dxa"/>
              <w:right w:w="30" w:type="dxa"/>
            </w:tcMar>
            <w:vAlign w:val="center"/>
          </w:tcPr>
          <w:p w14:paraId="13A73CDC"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4096.000</w:t>
            </w:r>
          </w:p>
        </w:tc>
        <w:tc>
          <w:tcPr>
            <w:tcW w:w="1134" w:type="dxa"/>
            <w:tcBorders>
              <w:top w:val="nil"/>
              <w:left w:val="nil"/>
              <w:bottom w:val="nil"/>
              <w:right w:val="nil"/>
            </w:tcBorders>
            <w:shd w:val="clear" w:color="auto" w:fill="FFFFFF"/>
            <w:tcMar>
              <w:top w:w="30" w:type="dxa"/>
              <w:left w:w="30" w:type="dxa"/>
              <w:bottom w:w="30" w:type="dxa"/>
              <w:right w:w="30" w:type="dxa"/>
            </w:tcMar>
            <w:vAlign w:val="center"/>
          </w:tcPr>
          <w:p w14:paraId="11D68989"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1</w:t>
            </w:r>
          </w:p>
        </w:tc>
        <w:tc>
          <w:tcPr>
            <w:tcW w:w="1701" w:type="dxa"/>
            <w:tcBorders>
              <w:top w:val="nil"/>
              <w:left w:val="nil"/>
              <w:bottom w:val="nil"/>
              <w:right w:val="nil"/>
            </w:tcBorders>
            <w:shd w:val="clear" w:color="auto" w:fill="FFFFFF"/>
            <w:tcMar>
              <w:top w:w="30" w:type="dxa"/>
              <w:left w:w="30" w:type="dxa"/>
              <w:bottom w:w="30" w:type="dxa"/>
              <w:right w:w="30" w:type="dxa"/>
            </w:tcMar>
            <w:vAlign w:val="center"/>
          </w:tcPr>
          <w:p w14:paraId="6E66F66D"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4096.000</w:t>
            </w:r>
          </w:p>
        </w:tc>
        <w:tc>
          <w:tcPr>
            <w:tcW w:w="1134" w:type="dxa"/>
            <w:tcBorders>
              <w:top w:val="nil"/>
              <w:left w:val="nil"/>
              <w:bottom w:val="nil"/>
              <w:right w:val="nil"/>
            </w:tcBorders>
            <w:shd w:val="clear" w:color="auto" w:fill="FFFFFF"/>
            <w:tcMar>
              <w:top w:w="30" w:type="dxa"/>
              <w:left w:w="30" w:type="dxa"/>
              <w:bottom w:w="30" w:type="dxa"/>
              <w:right w:w="30" w:type="dxa"/>
            </w:tcMar>
            <w:vAlign w:val="center"/>
          </w:tcPr>
          <w:p w14:paraId="7F08B37F"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840.205</w:t>
            </w:r>
          </w:p>
        </w:tc>
        <w:tc>
          <w:tcPr>
            <w:tcW w:w="1418" w:type="dxa"/>
            <w:tcBorders>
              <w:top w:val="nil"/>
              <w:left w:val="nil"/>
              <w:bottom w:val="nil"/>
            </w:tcBorders>
            <w:shd w:val="clear" w:color="auto" w:fill="FFFFFF"/>
            <w:tcMar>
              <w:top w:w="30" w:type="dxa"/>
              <w:left w:w="30" w:type="dxa"/>
              <w:bottom w:w="30" w:type="dxa"/>
              <w:right w:w="30" w:type="dxa"/>
            </w:tcMar>
            <w:vAlign w:val="center"/>
          </w:tcPr>
          <w:p w14:paraId="0BDB11BE"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.000</w:t>
            </w:r>
          </w:p>
        </w:tc>
      </w:tr>
      <w:tr w:rsidR="009B5B51" w:rsidRPr="00AB7C2C" w14:paraId="6CAC3897" w14:textId="77777777" w:rsidTr="009B5B51">
        <w:trPr>
          <w:cantSplit/>
          <w:tblHeader/>
        </w:trPr>
        <w:tc>
          <w:tcPr>
            <w:tcW w:w="2268" w:type="dxa"/>
            <w:tcBorders>
              <w:top w:val="nil"/>
              <w:bottom w:val="nil"/>
              <w:right w:val="nil"/>
            </w:tcBorders>
            <w:shd w:val="clear" w:color="auto" w:fill="FFFFFF"/>
            <w:tcMar>
              <w:top w:w="30" w:type="dxa"/>
              <w:left w:w="30" w:type="dxa"/>
              <w:bottom w:w="30" w:type="dxa"/>
              <w:right w:w="30" w:type="dxa"/>
            </w:tcMar>
          </w:tcPr>
          <w:p w14:paraId="4CDFEF8E" w14:textId="0805801B" w:rsidR="00703ADE" w:rsidRPr="00AB7C2C" w:rsidRDefault="00AB7C2C" w:rsidP="00AB7C2C">
            <w:pPr>
              <w:autoSpaceDE w:val="0"/>
              <w:autoSpaceDN w:val="0"/>
              <w:adjustRightInd w:val="0"/>
              <w:spacing w:after="0" w:line="240" w:lineRule="auto"/>
              <w:rPr>
                <w:rFonts w:ascii="Georgia" w:hAnsi="Georgia" w:cs="Arial"/>
                <w:color w:val="000000"/>
                <w:lang w:val="en-US"/>
              </w:rPr>
            </w:pPr>
            <w:r>
              <w:rPr>
                <w:rFonts w:ascii="Georgia" w:hAnsi="Georgia" w:cs="Arial"/>
                <w:color w:val="000000"/>
              </w:rPr>
              <w:t>M</w:t>
            </w:r>
            <w:r>
              <w:rPr>
                <w:rFonts w:ascii="Georgia" w:hAnsi="Georgia" w:cs="Arial"/>
                <w:color w:val="000000"/>
                <w:lang w:val="en-US"/>
              </w:rPr>
              <w:t>odel Pembelajaran</w:t>
            </w:r>
          </w:p>
        </w:tc>
        <w:tc>
          <w:tcPr>
            <w:tcW w:w="2268" w:type="dxa"/>
            <w:tcBorders>
              <w:top w:val="nil"/>
              <w:left w:val="nil"/>
              <w:bottom w:val="nil"/>
              <w:right w:val="nil"/>
            </w:tcBorders>
            <w:shd w:val="clear" w:color="auto" w:fill="FFFFFF"/>
            <w:tcMar>
              <w:top w:w="30" w:type="dxa"/>
              <w:left w:w="30" w:type="dxa"/>
              <w:bottom w:w="30" w:type="dxa"/>
              <w:right w:w="30" w:type="dxa"/>
            </w:tcMar>
            <w:vAlign w:val="center"/>
          </w:tcPr>
          <w:p w14:paraId="45F5F0AE"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69.444</w:t>
            </w:r>
          </w:p>
        </w:tc>
        <w:tc>
          <w:tcPr>
            <w:tcW w:w="1134" w:type="dxa"/>
            <w:tcBorders>
              <w:top w:val="nil"/>
              <w:left w:val="nil"/>
              <w:bottom w:val="nil"/>
              <w:right w:val="nil"/>
            </w:tcBorders>
            <w:shd w:val="clear" w:color="auto" w:fill="FFFFFF"/>
            <w:tcMar>
              <w:top w:w="30" w:type="dxa"/>
              <w:left w:w="30" w:type="dxa"/>
              <w:bottom w:w="30" w:type="dxa"/>
              <w:right w:w="30" w:type="dxa"/>
            </w:tcMar>
            <w:vAlign w:val="center"/>
          </w:tcPr>
          <w:p w14:paraId="071F11BD"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1</w:t>
            </w:r>
          </w:p>
        </w:tc>
        <w:tc>
          <w:tcPr>
            <w:tcW w:w="1701" w:type="dxa"/>
            <w:tcBorders>
              <w:top w:val="nil"/>
              <w:left w:val="nil"/>
              <w:bottom w:val="nil"/>
              <w:right w:val="nil"/>
            </w:tcBorders>
            <w:shd w:val="clear" w:color="auto" w:fill="FFFFFF"/>
            <w:tcMar>
              <w:top w:w="30" w:type="dxa"/>
              <w:left w:w="30" w:type="dxa"/>
              <w:bottom w:w="30" w:type="dxa"/>
              <w:right w:w="30" w:type="dxa"/>
            </w:tcMar>
            <w:vAlign w:val="center"/>
          </w:tcPr>
          <w:p w14:paraId="4DF840EC"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69.444</w:t>
            </w:r>
          </w:p>
        </w:tc>
        <w:tc>
          <w:tcPr>
            <w:tcW w:w="1134" w:type="dxa"/>
            <w:tcBorders>
              <w:top w:val="nil"/>
              <w:left w:val="nil"/>
              <w:bottom w:val="nil"/>
              <w:right w:val="nil"/>
            </w:tcBorders>
            <w:shd w:val="clear" w:color="auto" w:fill="FFFFFF"/>
            <w:tcMar>
              <w:top w:w="30" w:type="dxa"/>
              <w:left w:w="30" w:type="dxa"/>
              <w:bottom w:w="30" w:type="dxa"/>
              <w:right w:w="30" w:type="dxa"/>
            </w:tcMar>
            <w:vAlign w:val="center"/>
          </w:tcPr>
          <w:p w14:paraId="47DF7F97"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14.245</w:t>
            </w:r>
          </w:p>
        </w:tc>
        <w:tc>
          <w:tcPr>
            <w:tcW w:w="1418" w:type="dxa"/>
            <w:tcBorders>
              <w:top w:val="nil"/>
              <w:left w:val="nil"/>
              <w:bottom w:val="nil"/>
            </w:tcBorders>
            <w:shd w:val="clear" w:color="auto" w:fill="FFFFFF"/>
            <w:tcMar>
              <w:top w:w="30" w:type="dxa"/>
              <w:left w:w="30" w:type="dxa"/>
              <w:bottom w:w="30" w:type="dxa"/>
              <w:right w:w="30" w:type="dxa"/>
            </w:tcMar>
            <w:vAlign w:val="center"/>
          </w:tcPr>
          <w:p w14:paraId="642EA63C"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.001</w:t>
            </w:r>
          </w:p>
        </w:tc>
      </w:tr>
      <w:tr w:rsidR="009B5B51" w:rsidRPr="00AB7C2C" w14:paraId="4710B94E" w14:textId="77777777" w:rsidTr="009B5B51">
        <w:trPr>
          <w:cantSplit/>
          <w:tblHeader/>
        </w:trPr>
        <w:tc>
          <w:tcPr>
            <w:tcW w:w="2268" w:type="dxa"/>
            <w:tcBorders>
              <w:top w:val="nil"/>
              <w:bottom w:val="nil"/>
              <w:right w:val="nil"/>
            </w:tcBorders>
            <w:shd w:val="clear" w:color="auto" w:fill="FFFFFF"/>
            <w:tcMar>
              <w:top w:w="30" w:type="dxa"/>
              <w:left w:w="30" w:type="dxa"/>
              <w:bottom w:w="30" w:type="dxa"/>
              <w:right w:w="30" w:type="dxa"/>
            </w:tcMar>
          </w:tcPr>
          <w:p w14:paraId="2603EF2B" w14:textId="77777777" w:rsidR="00703ADE" w:rsidRPr="00AB7C2C" w:rsidRDefault="00703ADE" w:rsidP="00AB7C2C">
            <w:pPr>
              <w:autoSpaceDE w:val="0"/>
              <w:autoSpaceDN w:val="0"/>
              <w:adjustRightInd w:val="0"/>
              <w:spacing w:after="0" w:line="240" w:lineRule="auto"/>
              <w:rPr>
                <w:rFonts w:ascii="Georgia" w:hAnsi="Georgia" w:cs="Arial"/>
                <w:color w:val="000000"/>
              </w:rPr>
            </w:pPr>
            <w:r w:rsidRPr="00AB7C2C">
              <w:rPr>
                <w:rFonts w:ascii="Georgia" w:hAnsi="Georgia" w:cs="Arial"/>
                <w:color w:val="000000"/>
              </w:rPr>
              <w:t>Error</w:t>
            </w:r>
          </w:p>
        </w:tc>
        <w:tc>
          <w:tcPr>
            <w:tcW w:w="2268" w:type="dxa"/>
            <w:tcBorders>
              <w:top w:val="nil"/>
              <w:left w:val="nil"/>
              <w:bottom w:val="nil"/>
              <w:right w:val="nil"/>
            </w:tcBorders>
            <w:shd w:val="clear" w:color="auto" w:fill="FFFFFF"/>
            <w:tcMar>
              <w:top w:w="30" w:type="dxa"/>
              <w:left w:w="30" w:type="dxa"/>
              <w:bottom w:w="30" w:type="dxa"/>
              <w:right w:w="30" w:type="dxa"/>
            </w:tcMar>
            <w:vAlign w:val="center"/>
          </w:tcPr>
          <w:p w14:paraId="7FFB1743"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156.000</w:t>
            </w:r>
          </w:p>
        </w:tc>
        <w:tc>
          <w:tcPr>
            <w:tcW w:w="1134" w:type="dxa"/>
            <w:tcBorders>
              <w:top w:val="nil"/>
              <w:left w:val="nil"/>
              <w:bottom w:val="nil"/>
              <w:right w:val="nil"/>
            </w:tcBorders>
            <w:shd w:val="clear" w:color="auto" w:fill="FFFFFF"/>
            <w:tcMar>
              <w:top w:w="30" w:type="dxa"/>
              <w:left w:w="30" w:type="dxa"/>
              <w:bottom w:w="30" w:type="dxa"/>
              <w:right w:w="30" w:type="dxa"/>
            </w:tcMar>
            <w:vAlign w:val="center"/>
          </w:tcPr>
          <w:p w14:paraId="5EB872F4"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32</w:t>
            </w:r>
          </w:p>
        </w:tc>
        <w:tc>
          <w:tcPr>
            <w:tcW w:w="1701" w:type="dxa"/>
            <w:tcBorders>
              <w:top w:val="nil"/>
              <w:left w:val="nil"/>
              <w:bottom w:val="nil"/>
              <w:right w:val="nil"/>
            </w:tcBorders>
            <w:shd w:val="clear" w:color="auto" w:fill="FFFFFF"/>
            <w:tcMar>
              <w:top w:w="30" w:type="dxa"/>
              <w:left w:w="30" w:type="dxa"/>
              <w:bottom w:w="30" w:type="dxa"/>
              <w:right w:w="30" w:type="dxa"/>
            </w:tcMar>
            <w:vAlign w:val="center"/>
          </w:tcPr>
          <w:p w14:paraId="651EE004"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4.875</w:t>
            </w:r>
          </w:p>
        </w:tc>
        <w:tc>
          <w:tcPr>
            <w:tcW w:w="1134" w:type="dxa"/>
            <w:tcBorders>
              <w:top w:val="nil"/>
              <w:left w:val="nil"/>
              <w:bottom w:val="nil"/>
              <w:right w:val="nil"/>
            </w:tcBorders>
            <w:shd w:val="clear" w:color="auto" w:fill="FFFFFF"/>
            <w:tcMar>
              <w:top w:w="30" w:type="dxa"/>
              <w:left w:w="30" w:type="dxa"/>
              <w:bottom w:w="30" w:type="dxa"/>
              <w:right w:w="30" w:type="dxa"/>
            </w:tcMar>
          </w:tcPr>
          <w:p w14:paraId="6C84F070" w14:textId="77777777" w:rsidR="00703ADE" w:rsidRPr="00AB7C2C" w:rsidRDefault="00703ADE" w:rsidP="00AB7C2C">
            <w:pPr>
              <w:autoSpaceDE w:val="0"/>
              <w:autoSpaceDN w:val="0"/>
              <w:adjustRightInd w:val="0"/>
              <w:spacing w:after="0" w:line="240" w:lineRule="auto"/>
              <w:rPr>
                <w:rFonts w:ascii="Georgia" w:hAnsi="Georgia" w:cs="Times New Roman"/>
              </w:rPr>
            </w:pPr>
          </w:p>
        </w:tc>
        <w:tc>
          <w:tcPr>
            <w:tcW w:w="1418" w:type="dxa"/>
            <w:tcBorders>
              <w:top w:val="nil"/>
              <w:left w:val="nil"/>
              <w:bottom w:val="nil"/>
            </w:tcBorders>
            <w:shd w:val="clear" w:color="auto" w:fill="FFFFFF"/>
            <w:tcMar>
              <w:top w:w="30" w:type="dxa"/>
              <w:left w:w="30" w:type="dxa"/>
              <w:bottom w:w="30" w:type="dxa"/>
              <w:right w:w="30" w:type="dxa"/>
            </w:tcMar>
          </w:tcPr>
          <w:p w14:paraId="4308E39C" w14:textId="77777777" w:rsidR="00703ADE" w:rsidRPr="00AB7C2C" w:rsidRDefault="00703ADE" w:rsidP="00AB7C2C">
            <w:pPr>
              <w:autoSpaceDE w:val="0"/>
              <w:autoSpaceDN w:val="0"/>
              <w:adjustRightInd w:val="0"/>
              <w:spacing w:after="0" w:line="240" w:lineRule="auto"/>
              <w:rPr>
                <w:rFonts w:ascii="Georgia" w:hAnsi="Georgia" w:cs="Times New Roman"/>
              </w:rPr>
            </w:pPr>
          </w:p>
        </w:tc>
      </w:tr>
      <w:tr w:rsidR="009B5B51" w:rsidRPr="00AB7C2C" w14:paraId="0FF46A28" w14:textId="77777777" w:rsidTr="009B5B51">
        <w:trPr>
          <w:cantSplit/>
          <w:tblHeader/>
        </w:trPr>
        <w:tc>
          <w:tcPr>
            <w:tcW w:w="2268" w:type="dxa"/>
            <w:tcBorders>
              <w:top w:val="nil"/>
              <w:bottom w:val="nil"/>
              <w:right w:val="nil"/>
            </w:tcBorders>
            <w:shd w:val="clear" w:color="auto" w:fill="FFFFFF"/>
            <w:tcMar>
              <w:top w:w="30" w:type="dxa"/>
              <w:left w:w="30" w:type="dxa"/>
              <w:bottom w:w="30" w:type="dxa"/>
              <w:right w:w="30" w:type="dxa"/>
            </w:tcMar>
          </w:tcPr>
          <w:p w14:paraId="67A1B2CF" w14:textId="77777777" w:rsidR="00703ADE" w:rsidRPr="00AB7C2C" w:rsidRDefault="00703ADE" w:rsidP="00AB7C2C">
            <w:pPr>
              <w:autoSpaceDE w:val="0"/>
              <w:autoSpaceDN w:val="0"/>
              <w:adjustRightInd w:val="0"/>
              <w:spacing w:after="0" w:line="240" w:lineRule="auto"/>
              <w:rPr>
                <w:rFonts w:ascii="Georgia" w:hAnsi="Georgia" w:cs="Arial"/>
                <w:color w:val="000000"/>
              </w:rPr>
            </w:pPr>
            <w:r w:rsidRPr="00AB7C2C">
              <w:rPr>
                <w:rFonts w:ascii="Georgia" w:hAnsi="Georgia" w:cs="Arial"/>
                <w:color w:val="000000"/>
              </w:rPr>
              <w:t>Total</w:t>
            </w:r>
          </w:p>
        </w:tc>
        <w:tc>
          <w:tcPr>
            <w:tcW w:w="2268" w:type="dxa"/>
            <w:tcBorders>
              <w:top w:val="nil"/>
              <w:left w:val="nil"/>
              <w:bottom w:val="nil"/>
              <w:right w:val="nil"/>
            </w:tcBorders>
            <w:shd w:val="clear" w:color="auto" w:fill="FFFFFF"/>
            <w:tcMar>
              <w:top w:w="30" w:type="dxa"/>
              <w:left w:w="30" w:type="dxa"/>
              <w:bottom w:w="30" w:type="dxa"/>
              <w:right w:w="30" w:type="dxa"/>
            </w:tcMar>
            <w:vAlign w:val="center"/>
          </w:tcPr>
          <w:p w14:paraId="4155A85C"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217194.000</w:t>
            </w:r>
          </w:p>
        </w:tc>
        <w:tc>
          <w:tcPr>
            <w:tcW w:w="1134" w:type="dxa"/>
            <w:tcBorders>
              <w:top w:val="nil"/>
              <w:left w:val="nil"/>
              <w:bottom w:val="nil"/>
              <w:right w:val="nil"/>
            </w:tcBorders>
            <w:shd w:val="clear" w:color="auto" w:fill="FFFFFF"/>
            <w:tcMar>
              <w:top w:w="30" w:type="dxa"/>
              <w:left w:w="30" w:type="dxa"/>
              <w:bottom w:w="30" w:type="dxa"/>
              <w:right w:w="30" w:type="dxa"/>
            </w:tcMar>
            <w:vAlign w:val="center"/>
          </w:tcPr>
          <w:p w14:paraId="0E28A040"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36</w:t>
            </w:r>
          </w:p>
        </w:tc>
        <w:tc>
          <w:tcPr>
            <w:tcW w:w="1701" w:type="dxa"/>
            <w:tcBorders>
              <w:top w:val="nil"/>
              <w:left w:val="nil"/>
              <w:bottom w:val="nil"/>
              <w:right w:val="nil"/>
            </w:tcBorders>
            <w:shd w:val="clear" w:color="auto" w:fill="FFFFFF"/>
            <w:tcMar>
              <w:top w:w="30" w:type="dxa"/>
              <w:left w:w="30" w:type="dxa"/>
              <w:bottom w:w="30" w:type="dxa"/>
              <w:right w:w="30" w:type="dxa"/>
            </w:tcMar>
          </w:tcPr>
          <w:p w14:paraId="47986E06" w14:textId="77777777" w:rsidR="00703ADE" w:rsidRPr="00AB7C2C" w:rsidRDefault="00703ADE" w:rsidP="00AB7C2C">
            <w:pPr>
              <w:autoSpaceDE w:val="0"/>
              <w:autoSpaceDN w:val="0"/>
              <w:adjustRightInd w:val="0"/>
              <w:spacing w:after="0" w:line="240" w:lineRule="auto"/>
              <w:rPr>
                <w:rFonts w:ascii="Georgia" w:hAnsi="Georgia" w:cs="Times New Roman"/>
              </w:rPr>
            </w:pPr>
          </w:p>
        </w:tc>
        <w:tc>
          <w:tcPr>
            <w:tcW w:w="1134" w:type="dxa"/>
            <w:tcBorders>
              <w:top w:val="nil"/>
              <w:left w:val="nil"/>
              <w:bottom w:val="nil"/>
              <w:right w:val="nil"/>
            </w:tcBorders>
            <w:shd w:val="clear" w:color="auto" w:fill="FFFFFF"/>
            <w:tcMar>
              <w:top w:w="30" w:type="dxa"/>
              <w:left w:w="30" w:type="dxa"/>
              <w:bottom w:w="30" w:type="dxa"/>
              <w:right w:w="30" w:type="dxa"/>
            </w:tcMar>
          </w:tcPr>
          <w:p w14:paraId="3DC1AD8D" w14:textId="77777777" w:rsidR="00703ADE" w:rsidRPr="00AB7C2C" w:rsidRDefault="00703ADE" w:rsidP="00AB7C2C">
            <w:pPr>
              <w:autoSpaceDE w:val="0"/>
              <w:autoSpaceDN w:val="0"/>
              <w:adjustRightInd w:val="0"/>
              <w:spacing w:after="0" w:line="240" w:lineRule="auto"/>
              <w:rPr>
                <w:rFonts w:ascii="Georgia" w:hAnsi="Georgia" w:cs="Times New Roman"/>
              </w:rPr>
            </w:pPr>
          </w:p>
        </w:tc>
        <w:tc>
          <w:tcPr>
            <w:tcW w:w="1418" w:type="dxa"/>
            <w:tcBorders>
              <w:top w:val="nil"/>
              <w:left w:val="nil"/>
              <w:bottom w:val="nil"/>
            </w:tcBorders>
            <w:shd w:val="clear" w:color="auto" w:fill="FFFFFF"/>
            <w:tcMar>
              <w:top w:w="30" w:type="dxa"/>
              <w:left w:w="30" w:type="dxa"/>
              <w:bottom w:w="30" w:type="dxa"/>
              <w:right w:w="30" w:type="dxa"/>
            </w:tcMar>
          </w:tcPr>
          <w:p w14:paraId="4A2BDE1A" w14:textId="77777777" w:rsidR="00703ADE" w:rsidRPr="00AB7C2C" w:rsidRDefault="00703ADE" w:rsidP="00AB7C2C">
            <w:pPr>
              <w:autoSpaceDE w:val="0"/>
              <w:autoSpaceDN w:val="0"/>
              <w:adjustRightInd w:val="0"/>
              <w:spacing w:after="0" w:line="240" w:lineRule="auto"/>
              <w:rPr>
                <w:rFonts w:ascii="Georgia" w:hAnsi="Georgia" w:cs="Times New Roman"/>
              </w:rPr>
            </w:pPr>
          </w:p>
        </w:tc>
      </w:tr>
      <w:tr w:rsidR="009B5B51" w:rsidRPr="00AB7C2C" w14:paraId="78B8EB65" w14:textId="77777777" w:rsidTr="009B5B51">
        <w:trPr>
          <w:cantSplit/>
        </w:trPr>
        <w:tc>
          <w:tcPr>
            <w:tcW w:w="2268" w:type="dxa"/>
            <w:tcBorders>
              <w:top w:val="nil"/>
              <w:right w:val="nil"/>
            </w:tcBorders>
            <w:shd w:val="clear" w:color="auto" w:fill="FFFFFF"/>
            <w:tcMar>
              <w:top w:w="30" w:type="dxa"/>
              <w:left w:w="30" w:type="dxa"/>
              <w:bottom w:w="30" w:type="dxa"/>
              <w:right w:w="30" w:type="dxa"/>
            </w:tcMar>
          </w:tcPr>
          <w:p w14:paraId="2E994AC9" w14:textId="77777777" w:rsidR="00703ADE" w:rsidRPr="00AB7C2C" w:rsidRDefault="00703ADE" w:rsidP="00AB7C2C">
            <w:pPr>
              <w:autoSpaceDE w:val="0"/>
              <w:autoSpaceDN w:val="0"/>
              <w:adjustRightInd w:val="0"/>
              <w:spacing w:after="0" w:line="240" w:lineRule="auto"/>
              <w:rPr>
                <w:rFonts w:ascii="Georgia" w:hAnsi="Georgia" w:cs="Arial"/>
                <w:color w:val="000000"/>
              </w:rPr>
            </w:pPr>
            <w:r w:rsidRPr="00AB7C2C">
              <w:rPr>
                <w:rFonts w:ascii="Georgia" w:hAnsi="Georgia" w:cs="Arial"/>
                <w:color w:val="000000"/>
              </w:rPr>
              <w:t>Corrected Total</w:t>
            </w:r>
          </w:p>
        </w:tc>
        <w:tc>
          <w:tcPr>
            <w:tcW w:w="2268" w:type="dxa"/>
            <w:tcBorders>
              <w:top w:val="nil"/>
              <w:left w:val="nil"/>
              <w:right w:val="nil"/>
            </w:tcBorders>
            <w:shd w:val="clear" w:color="auto" w:fill="FFFFFF"/>
            <w:tcMar>
              <w:top w:w="30" w:type="dxa"/>
              <w:left w:w="30" w:type="dxa"/>
              <w:bottom w:w="30" w:type="dxa"/>
              <w:right w:w="30" w:type="dxa"/>
            </w:tcMar>
            <w:vAlign w:val="center"/>
          </w:tcPr>
          <w:p w14:paraId="49D6DB15"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4980.222</w:t>
            </w:r>
          </w:p>
        </w:tc>
        <w:tc>
          <w:tcPr>
            <w:tcW w:w="1134" w:type="dxa"/>
            <w:tcBorders>
              <w:top w:val="nil"/>
              <w:left w:val="nil"/>
              <w:right w:val="nil"/>
            </w:tcBorders>
            <w:shd w:val="clear" w:color="auto" w:fill="FFFFFF"/>
            <w:tcMar>
              <w:top w:w="30" w:type="dxa"/>
              <w:left w:w="30" w:type="dxa"/>
              <w:bottom w:w="30" w:type="dxa"/>
              <w:right w:w="30" w:type="dxa"/>
            </w:tcMar>
            <w:vAlign w:val="center"/>
          </w:tcPr>
          <w:p w14:paraId="529F9B34" w14:textId="77777777" w:rsidR="00703ADE" w:rsidRPr="00AB7C2C" w:rsidRDefault="00703ADE" w:rsidP="00AB7C2C">
            <w:pPr>
              <w:autoSpaceDE w:val="0"/>
              <w:autoSpaceDN w:val="0"/>
              <w:adjustRightInd w:val="0"/>
              <w:spacing w:after="0" w:line="240" w:lineRule="auto"/>
              <w:jc w:val="right"/>
              <w:rPr>
                <w:rFonts w:ascii="Georgia" w:hAnsi="Georgia" w:cs="Arial"/>
                <w:color w:val="000000"/>
              </w:rPr>
            </w:pPr>
            <w:r w:rsidRPr="00AB7C2C">
              <w:rPr>
                <w:rFonts w:ascii="Georgia" w:hAnsi="Georgia" w:cs="Arial"/>
                <w:color w:val="000000"/>
              </w:rPr>
              <w:t>35</w:t>
            </w:r>
          </w:p>
        </w:tc>
        <w:tc>
          <w:tcPr>
            <w:tcW w:w="1701" w:type="dxa"/>
            <w:tcBorders>
              <w:top w:val="nil"/>
              <w:left w:val="nil"/>
              <w:right w:val="nil"/>
            </w:tcBorders>
            <w:shd w:val="clear" w:color="auto" w:fill="FFFFFF"/>
            <w:tcMar>
              <w:top w:w="30" w:type="dxa"/>
              <w:left w:w="30" w:type="dxa"/>
              <w:bottom w:w="30" w:type="dxa"/>
              <w:right w:w="30" w:type="dxa"/>
            </w:tcMar>
          </w:tcPr>
          <w:p w14:paraId="50120D48" w14:textId="77777777" w:rsidR="00703ADE" w:rsidRPr="00AB7C2C" w:rsidRDefault="00703ADE" w:rsidP="00AB7C2C">
            <w:pPr>
              <w:autoSpaceDE w:val="0"/>
              <w:autoSpaceDN w:val="0"/>
              <w:adjustRightInd w:val="0"/>
              <w:spacing w:after="0" w:line="240" w:lineRule="auto"/>
              <w:rPr>
                <w:rFonts w:ascii="Georgia" w:hAnsi="Georgia" w:cs="Times New Roman"/>
              </w:rPr>
            </w:pPr>
          </w:p>
        </w:tc>
        <w:tc>
          <w:tcPr>
            <w:tcW w:w="1134" w:type="dxa"/>
            <w:tcBorders>
              <w:top w:val="nil"/>
              <w:left w:val="nil"/>
              <w:right w:val="nil"/>
            </w:tcBorders>
            <w:shd w:val="clear" w:color="auto" w:fill="FFFFFF"/>
            <w:tcMar>
              <w:top w:w="30" w:type="dxa"/>
              <w:left w:w="30" w:type="dxa"/>
              <w:bottom w:w="30" w:type="dxa"/>
              <w:right w:w="30" w:type="dxa"/>
            </w:tcMar>
          </w:tcPr>
          <w:p w14:paraId="5F945281" w14:textId="77777777" w:rsidR="00703ADE" w:rsidRPr="00AB7C2C" w:rsidRDefault="00703ADE" w:rsidP="00AB7C2C">
            <w:pPr>
              <w:autoSpaceDE w:val="0"/>
              <w:autoSpaceDN w:val="0"/>
              <w:adjustRightInd w:val="0"/>
              <w:spacing w:after="0" w:line="240" w:lineRule="auto"/>
              <w:rPr>
                <w:rFonts w:ascii="Georgia" w:hAnsi="Georgia" w:cs="Times New Roman"/>
              </w:rPr>
            </w:pPr>
          </w:p>
        </w:tc>
        <w:tc>
          <w:tcPr>
            <w:tcW w:w="1418" w:type="dxa"/>
            <w:tcBorders>
              <w:top w:val="nil"/>
              <w:left w:val="nil"/>
            </w:tcBorders>
            <w:shd w:val="clear" w:color="auto" w:fill="FFFFFF"/>
            <w:tcMar>
              <w:top w:w="30" w:type="dxa"/>
              <w:left w:w="30" w:type="dxa"/>
              <w:bottom w:w="30" w:type="dxa"/>
              <w:right w:w="30" w:type="dxa"/>
            </w:tcMar>
          </w:tcPr>
          <w:p w14:paraId="582E066A" w14:textId="77777777" w:rsidR="00703ADE" w:rsidRPr="00AB7C2C" w:rsidRDefault="00703ADE" w:rsidP="00AB7C2C">
            <w:pPr>
              <w:autoSpaceDE w:val="0"/>
              <w:autoSpaceDN w:val="0"/>
              <w:adjustRightInd w:val="0"/>
              <w:spacing w:after="0" w:line="240" w:lineRule="auto"/>
              <w:rPr>
                <w:rFonts w:ascii="Georgia" w:hAnsi="Georgia" w:cs="Times New Roman"/>
              </w:rPr>
            </w:pPr>
          </w:p>
        </w:tc>
      </w:tr>
    </w:tbl>
    <w:p w14:paraId="1982194D" w14:textId="77777777" w:rsidR="00703ADE" w:rsidRPr="00723B12" w:rsidRDefault="00703ADE" w:rsidP="00F70FF8">
      <w:pPr>
        <w:spacing w:after="0" w:line="240" w:lineRule="auto"/>
        <w:ind w:firstLine="709"/>
        <w:jc w:val="both"/>
        <w:rPr>
          <w:rFonts w:ascii="Georgia" w:eastAsia="Arial" w:hAnsi="Georgia" w:cs="Times New Roman"/>
          <w:lang w:val="en-US" w:eastAsia="en-US"/>
        </w:rPr>
      </w:pPr>
    </w:p>
    <w:p w14:paraId="4CCC1362" w14:textId="77777777" w:rsidR="00C746F2" w:rsidRDefault="00005BD6" w:rsidP="00C746F2">
      <w:pPr>
        <w:spacing w:after="0" w:line="240" w:lineRule="auto"/>
        <w:ind w:firstLine="567"/>
        <w:jc w:val="both"/>
        <w:rPr>
          <w:rFonts w:ascii="Georgia" w:eastAsia="Times New Roman" w:hAnsi="Georgia" w:cs="Times New Roman"/>
          <w:b/>
          <w:lang w:val="en-US"/>
        </w:rPr>
      </w:pPr>
      <w:r w:rsidRPr="00C17817">
        <w:rPr>
          <w:rFonts w:ascii="Georgia" w:hAnsi="Georgia"/>
        </w:rPr>
        <w:t>Hasil t</w:t>
      </w:r>
      <w:r>
        <w:rPr>
          <w:rFonts w:ascii="Georgia" w:hAnsi="Georgia"/>
        </w:rPr>
        <w:t>ersebut mengukur nilai sig=0,00</w:t>
      </w:r>
      <w:r>
        <w:rPr>
          <w:rFonts w:ascii="Georgia" w:hAnsi="Georgia"/>
          <w:lang w:val="en-US"/>
        </w:rPr>
        <w:t>1</w:t>
      </w:r>
      <w:r w:rsidRPr="00C17817">
        <w:rPr>
          <w:rFonts w:ascii="Georgia" w:hAnsi="Georgia"/>
        </w:rPr>
        <w:t xml:space="preserve"> dimana lebih kecil dari sig=0,05 yang artinya model pembelajaran berpengaruh terhadap hasil belajar sains. Pada model pembelajaran terlihat bahwa F</w:t>
      </w:r>
      <w:r w:rsidRPr="00C17817">
        <w:rPr>
          <w:rFonts w:ascii="Georgia" w:hAnsi="Georgia"/>
          <w:vertAlign w:val="subscript"/>
        </w:rPr>
        <w:t>hitung</w:t>
      </w:r>
      <w:r>
        <w:rPr>
          <w:rFonts w:ascii="Georgia" w:hAnsi="Georgia"/>
        </w:rPr>
        <w:t xml:space="preserve"> </w:t>
      </w:r>
      <w:r>
        <w:rPr>
          <w:rFonts w:ascii="Georgia" w:hAnsi="Georgia"/>
          <w:lang w:val="en-US"/>
        </w:rPr>
        <w:t>14</w:t>
      </w:r>
      <w:r>
        <w:rPr>
          <w:rFonts w:ascii="Georgia" w:hAnsi="Georgia"/>
        </w:rPr>
        <w:t>.</w:t>
      </w:r>
      <w:r>
        <w:rPr>
          <w:rFonts w:ascii="Georgia" w:hAnsi="Georgia"/>
          <w:lang w:val="en-US"/>
        </w:rPr>
        <w:t>245</w:t>
      </w:r>
      <w:r w:rsidRPr="00C17817">
        <w:rPr>
          <w:rFonts w:ascii="Georgia" w:hAnsi="Georgia"/>
        </w:rPr>
        <w:t xml:space="preserve"> </w:t>
      </w:r>
      <w:r>
        <w:rPr>
          <w:rFonts w:ascii="Georgia" w:hAnsi="Georgia"/>
        </w:rPr>
        <w:t>dengan signifikansi adalah 0,00</w:t>
      </w:r>
      <w:r>
        <w:rPr>
          <w:rFonts w:ascii="Georgia" w:hAnsi="Georgia"/>
          <w:lang w:val="en-US"/>
        </w:rPr>
        <w:t>1</w:t>
      </w:r>
      <w:r w:rsidRPr="00C17817">
        <w:rPr>
          <w:rFonts w:ascii="Georgia" w:hAnsi="Georgia"/>
        </w:rPr>
        <w:t xml:space="preserve"> jauh dibawah nilai sig &lt; 0,05 maka H</w:t>
      </w:r>
      <w:r w:rsidRPr="00C17817">
        <w:rPr>
          <w:rFonts w:ascii="Georgia" w:hAnsi="Georgia"/>
          <w:vertAlign w:val="subscript"/>
        </w:rPr>
        <w:t>0</w:t>
      </w:r>
      <w:r w:rsidRPr="00C17817">
        <w:rPr>
          <w:rFonts w:ascii="Georgia" w:hAnsi="Georgia"/>
        </w:rPr>
        <w:t xml:space="preserve"> ditolak </w:t>
      </w:r>
      <w:r w:rsidRPr="00C17817">
        <w:rPr>
          <w:rFonts w:ascii="Georgia" w:hAnsi="Georgia"/>
        </w:rPr>
        <w:lastRenderedPageBreak/>
        <w:t xml:space="preserve">sedangkan Hα diterima, maka dapat disimpulkan bahwa ada perbedaan hasil belajar antara yang mengikuti pembelajaran dengan menggunakan model </w:t>
      </w:r>
      <w:r>
        <w:rPr>
          <w:rFonts w:ascii="Georgia" w:hAnsi="Georgia"/>
          <w:lang w:val="en-US"/>
        </w:rPr>
        <w:t>TGT</w:t>
      </w:r>
      <w:r w:rsidRPr="00C17817">
        <w:rPr>
          <w:rFonts w:ascii="Georgia" w:hAnsi="Georgia"/>
        </w:rPr>
        <w:t xml:space="preserve"> dan model konvensional.</w:t>
      </w:r>
    </w:p>
    <w:p w14:paraId="17794EDB" w14:textId="4E626E70" w:rsidR="00005BD6" w:rsidRDefault="00C746F2" w:rsidP="00C746F2">
      <w:pPr>
        <w:spacing w:after="0" w:line="240" w:lineRule="auto"/>
        <w:ind w:firstLine="567"/>
        <w:jc w:val="both"/>
        <w:rPr>
          <w:rFonts w:ascii="Georgia" w:eastAsia="Times New Roman" w:hAnsi="Georgia" w:cs="Times New Roman"/>
          <w:lang w:val="en-US"/>
        </w:rPr>
      </w:pPr>
      <w:proofErr w:type="gramStart"/>
      <w:r w:rsidRPr="00C746F2">
        <w:rPr>
          <w:rFonts w:ascii="Georgia" w:eastAsia="Times New Roman" w:hAnsi="Georgia" w:cs="Times New Roman"/>
          <w:lang w:val="en-US"/>
        </w:rPr>
        <w:t xml:space="preserve">Pembelajaran kooperatif, sebagai </w:t>
      </w:r>
      <w:r>
        <w:rPr>
          <w:rFonts w:ascii="Georgia" w:eastAsia="Times New Roman" w:hAnsi="Georgia" w:cs="Times New Roman"/>
          <w:lang w:val="en-US"/>
        </w:rPr>
        <w:t xml:space="preserve">merupkan salah satu mode </w:t>
      </w:r>
      <w:r w:rsidRPr="00C746F2">
        <w:rPr>
          <w:rFonts w:ascii="Georgia" w:eastAsia="Times New Roman" w:hAnsi="Georgia" w:cs="Times New Roman"/>
          <w:lang w:val="en-US"/>
        </w:rPr>
        <w:t>pembelajaran memberikan kesempatan kepada siswa untuk berkembang</w:t>
      </w:r>
      <w:r>
        <w:rPr>
          <w:rFonts w:ascii="Georgia" w:eastAsia="Times New Roman" w:hAnsi="Georgia" w:cs="Times New Roman"/>
          <w:b/>
          <w:lang w:val="en-US"/>
        </w:rPr>
        <w:t xml:space="preserve"> </w:t>
      </w:r>
      <w:r>
        <w:rPr>
          <w:rFonts w:ascii="Georgia" w:eastAsia="Times New Roman" w:hAnsi="Georgia" w:cs="Times New Roman"/>
          <w:lang w:val="en-US"/>
        </w:rPr>
        <w:t xml:space="preserve">mengembangkan </w:t>
      </w:r>
      <w:r w:rsidRPr="00C746F2">
        <w:rPr>
          <w:rFonts w:ascii="Georgia" w:eastAsia="Times New Roman" w:hAnsi="Georgia" w:cs="Times New Roman"/>
          <w:lang w:val="en-US"/>
        </w:rPr>
        <w:t>keterampilan</w:t>
      </w:r>
      <w:r>
        <w:rPr>
          <w:rFonts w:ascii="Georgia" w:eastAsia="Times New Roman" w:hAnsi="Georgia" w:cs="Times New Roman"/>
          <w:lang w:val="en-US"/>
        </w:rPr>
        <w:t xml:space="preserve"> secara baik.</w:t>
      </w:r>
      <w:proofErr w:type="gramEnd"/>
      <w:r>
        <w:rPr>
          <w:rFonts w:ascii="Georgia" w:eastAsia="Times New Roman" w:hAnsi="Georgia" w:cs="Times New Roman"/>
          <w:lang w:val="en-US"/>
        </w:rPr>
        <w:t xml:space="preserve"> Keterampilan dasar pada setiap orang biasanya sudah ada sejak semula, </w:t>
      </w:r>
      <w:proofErr w:type="gramStart"/>
      <w:r>
        <w:rPr>
          <w:rFonts w:ascii="Georgia" w:eastAsia="Times New Roman" w:hAnsi="Georgia" w:cs="Times New Roman"/>
          <w:lang w:val="en-US"/>
        </w:rPr>
        <w:t>akan</w:t>
      </w:r>
      <w:proofErr w:type="gramEnd"/>
      <w:r>
        <w:rPr>
          <w:rFonts w:ascii="Georgia" w:eastAsia="Times New Roman" w:hAnsi="Georgia" w:cs="Times New Roman"/>
          <w:lang w:val="en-US"/>
        </w:rPr>
        <w:t xml:space="preserve"> tetapi bagaimana keterampilan itu dapat dikelola dengan baik untuk mengsilkan tujuan yang diharapkan</w:t>
      </w:r>
      <w:r w:rsidR="006D254A">
        <w:rPr>
          <w:rFonts w:ascii="Georgia" w:eastAsia="Times New Roman" w:hAnsi="Georgia" w:cs="Times New Roman"/>
          <w:lang w:val="en-US"/>
        </w:rPr>
        <w:t>. Dalam kelas TGT</w:t>
      </w:r>
      <w:r w:rsidRPr="00C746F2">
        <w:rPr>
          <w:rFonts w:ascii="Georgia" w:eastAsia="Times New Roman" w:hAnsi="Georgia" w:cs="Times New Roman"/>
          <w:lang w:val="en-US"/>
        </w:rPr>
        <w:t xml:space="preserve"> </w:t>
      </w:r>
      <w:r w:rsidR="006D254A">
        <w:rPr>
          <w:rFonts w:ascii="Georgia" w:eastAsia="Times New Roman" w:hAnsi="Georgia" w:cs="Times New Roman"/>
          <w:lang w:val="en-US"/>
        </w:rPr>
        <w:t xml:space="preserve">siswa </w:t>
      </w:r>
      <w:r w:rsidRPr="00C746F2">
        <w:rPr>
          <w:rFonts w:ascii="Georgia" w:eastAsia="Times New Roman" w:hAnsi="Georgia" w:cs="Times New Roman"/>
          <w:lang w:val="en-US"/>
        </w:rPr>
        <w:t>interaksi kelompok dan dalam bekerja dengan orang lain</w:t>
      </w:r>
      <w:r w:rsidR="006D254A">
        <w:rPr>
          <w:rFonts w:ascii="Georgia" w:eastAsia="Times New Roman" w:hAnsi="Georgia" w:cs="Times New Roman"/>
          <w:lang w:val="en-US"/>
        </w:rPr>
        <w:t xml:space="preserve">. </w:t>
      </w:r>
      <w:proofErr w:type="gramStart"/>
      <w:r w:rsidR="006D254A">
        <w:rPr>
          <w:rFonts w:ascii="Georgia" w:eastAsia="Times New Roman" w:hAnsi="Georgia" w:cs="Times New Roman"/>
          <w:lang w:val="en-US"/>
        </w:rPr>
        <w:t>Fenomena ini</w:t>
      </w:r>
      <w:r w:rsidRPr="00C746F2">
        <w:rPr>
          <w:rFonts w:ascii="Georgia" w:eastAsia="Times New Roman" w:hAnsi="Georgia" w:cs="Times New Roman"/>
          <w:lang w:val="en-US"/>
        </w:rPr>
        <w:t xml:space="preserve"> yang </w:t>
      </w:r>
      <w:r w:rsidR="006D254A">
        <w:rPr>
          <w:rFonts w:ascii="Georgia" w:eastAsia="Times New Roman" w:hAnsi="Georgia" w:cs="Times New Roman"/>
          <w:lang w:val="en-US"/>
        </w:rPr>
        <w:t xml:space="preserve">diharapkan oleh </w:t>
      </w:r>
      <w:r w:rsidRPr="00C746F2">
        <w:rPr>
          <w:rFonts w:ascii="Georgia" w:eastAsia="Times New Roman" w:hAnsi="Georgia" w:cs="Times New Roman"/>
          <w:lang w:val="en-US"/>
        </w:rPr>
        <w:t>di dunia saat ini.</w:t>
      </w:r>
      <w:proofErr w:type="gramEnd"/>
      <w:r w:rsidR="006D254A">
        <w:rPr>
          <w:rFonts w:ascii="Georgia" w:eastAsia="Times New Roman" w:hAnsi="Georgia" w:cs="Times New Roman"/>
          <w:lang w:val="en-US"/>
        </w:rPr>
        <w:t xml:space="preserve"> </w:t>
      </w:r>
      <w:proofErr w:type="gramStart"/>
      <w:r w:rsidR="006D254A">
        <w:rPr>
          <w:rFonts w:ascii="Georgia" w:eastAsia="Times New Roman" w:hAnsi="Georgia" w:cs="Times New Roman"/>
          <w:lang w:val="en-US"/>
        </w:rPr>
        <w:t>Hasil temuan berdasarkan data yang ada menunjukkan bahwa hasil belajar siswa dengan TGT lebih tinggi (81.65), bila dibandingkan dengan pembelajaran konvensional (75.75).</w:t>
      </w:r>
      <w:proofErr w:type="gramEnd"/>
      <w:r w:rsidR="006D254A">
        <w:rPr>
          <w:rFonts w:ascii="Georgia" w:eastAsia="Times New Roman" w:hAnsi="Georgia" w:cs="Times New Roman"/>
          <w:lang w:val="en-US"/>
        </w:rPr>
        <w:t xml:space="preserve"> Hal ini sesuai dengan hasil temuan </w:t>
      </w:r>
      <w:r w:rsidR="006D254A">
        <w:rPr>
          <w:rFonts w:ascii="Georgia" w:eastAsia="Times New Roman" w:hAnsi="Georgia" w:cs="Times New Roman"/>
          <w:lang w:val="en-US"/>
        </w:rPr>
        <w:fldChar w:fldCharType="begin" w:fldLock="1"/>
      </w:r>
      <w:r w:rsidR="00E23CCE">
        <w:rPr>
          <w:rFonts w:ascii="Georgia" w:eastAsia="Times New Roman" w:hAnsi="Georgia" w:cs="Times New Roman"/>
          <w:lang w:val="en-US"/>
        </w:rPr>
        <w:instrText>ADDIN CSL_CITATION {"citationItems":[{"id":"ITEM-1","itemData":{"DOI":"10.1080/09718923.2011.11892895","ISSN":"0971-8923","abstract":"Cooperative learning, as an instructional methodology provides opportunities for students to develop skills in group interactions and in working with others that are needed in today's world. The purpose of this study was to determine the effects of the cooperative learning technique of Teams-Games-Tournaments (TGT) on the achievement, retention, and attitudes toward TGT as a teaching method. A pretest-posttest, quasi-experimental design was used. Data collection instruments, an achievement test (Test of Economic Literacy), an attitude toward TGT and a retention test were used for the purpose of this study. Results indicated that the achievement test score for the TGT group was 52.99, while the Lecture control group was 50.13. This implies that the TGT group performed better in the achievement test compare to the control group. The retention test for both groups were very similar. The treatment group indicated positive attitude towards TGT as a teaching strategy for economics education. Adapted from the source document.","author":[{"dropping-particle":"van","family":"Wyk","given":"Micheal M.","non-dropping-particle":"","parse-names":false,"suffix":""}],"container-title":"Journal of Social Sciences","id":"ITEM-1","issue":"3","issued":{"date-parts":[["2011"]]},"page":"183-193","title":"The Effects of Teams-Games-Tournaments on Achievement, Retention, and Attitudes of Economics Education Students","type":"article-journal","volume":"26"},"uris":["http://www.mendeley.com/documents/?uuid=04a55a6d-efe1-4ad4-8877-2844db0c7d78"]}],"mendeley":{"formattedCitation":"(Wyk, 2011)","manualFormatting":"Wyk (2011)","plainTextFormattedCitation":"(Wyk, 2011)","previouslyFormattedCitation":"(Wyk, 2011)"},"properties":{"noteIndex":0},"schema":"https://github.com/citation-style-language/schema/raw/master/csl-citation.json"}</w:instrText>
      </w:r>
      <w:r w:rsidR="006D254A">
        <w:rPr>
          <w:rFonts w:ascii="Georgia" w:eastAsia="Times New Roman" w:hAnsi="Georgia" w:cs="Times New Roman"/>
          <w:lang w:val="en-US"/>
        </w:rPr>
        <w:fldChar w:fldCharType="separate"/>
      </w:r>
      <w:r w:rsidR="006D254A">
        <w:rPr>
          <w:rFonts w:ascii="Georgia" w:eastAsia="Times New Roman" w:hAnsi="Georgia" w:cs="Times New Roman"/>
          <w:noProof/>
          <w:lang w:val="en-US"/>
        </w:rPr>
        <w:t>Wyk</w:t>
      </w:r>
      <w:r w:rsidR="006D254A" w:rsidRPr="006D254A">
        <w:rPr>
          <w:rFonts w:ascii="Georgia" w:eastAsia="Times New Roman" w:hAnsi="Georgia" w:cs="Times New Roman"/>
          <w:noProof/>
          <w:lang w:val="en-US"/>
        </w:rPr>
        <w:t xml:space="preserve"> </w:t>
      </w:r>
      <w:r w:rsidR="006D254A">
        <w:rPr>
          <w:rFonts w:ascii="Georgia" w:eastAsia="Times New Roman" w:hAnsi="Georgia" w:cs="Times New Roman"/>
          <w:noProof/>
          <w:lang w:val="en-US"/>
        </w:rPr>
        <w:t>(</w:t>
      </w:r>
      <w:r w:rsidR="006D254A" w:rsidRPr="006D254A">
        <w:rPr>
          <w:rFonts w:ascii="Georgia" w:eastAsia="Times New Roman" w:hAnsi="Georgia" w:cs="Times New Roman"/>
          <w:noProof/>
          <w:lang w:val="en-US"/>
        </w:rPr>
        <w:t>2011)</w:t>
      </w:r>
      <w:r w:rsidR="006D254A">
        <w:rPr>
          <w:rFonts w:ascii="Georgia" w:eastAsia="Times New Roman" w:hAnsi="Georgia" w:cs="Times New Roman"/>
          <w:lang w:val="en-US"/>
        </w:rPr>
        <w:fldChar w:fldCharType="end"/>
      </w:r>
      <w:r w:rsidR="006D254A">
        <w:rPr>
          <w:rFonts w:ascii="Georgia" w:eastAsia="Times New Roman" w:hAnsi="Georgia" w:cs="Times New Roman"/>
          <w:lang w:val="en-US"/>
        </w:rPr>
        <w:t xml:space="preserve"> yang menjelaskan juga bahwa skor prestasi akademik TGT lebih tinggi bila dibandingkan dengan kelas kontrol. </w:t>
      </w:r>
      <w:proofErr w:type="gramStart"/>
      <w:r w:rsidR="006D254A">
        <w:rPr>
          <w:rFonts w:ascii="Georgia" w:eastAsia="Times New Roman" w:hAnsi="Georgia" w:cs="Times New Roman"/>
          <w:lang w:val="en-US"/>
        </w:rPr>
        <w:t>Ini memberikan isyarat bahwa kelompok TGT lebih terampil dalam prestasi akademik bila dibandingkan dengan kelas tradisional.</w:t>
      </w:r>
      <w:proofErr w:type="gramEnd"/>
    </w:p>
    <w:p w14:paraId="2D200920" w14:textId="1418820E" w:rsidR="006D254A" w:rsidRDefault="00E23CCE" w:rsidP="001C21B2">
      <w:pPr>
        <w:spacing w:after="0" w:line="240" w:lineRule="auto"/>
        <w:ind w:firstLine="567"/>
        <w:jc w:val="both"/>
        <w:rPr>
          <w:rFonts w:ascii="Georgia" w:eastAsia="Times New Roman" w:hAnsi="Georgia" w:cs="Times New Roman"/>
          <w:lang w:val="en-US"/>
        </w:rPr>
      </w:pPr>
      <w:r>
        <w:rPr>
          <w:rFonts w:ascii="Georgia" w:eastAsia="Times New Roman" w:hAnsi="Georgia" w:cs="Times New Roman"/>
          <w:lang w:val="en-US"/>
        </w:rPr>
        <w:t>Kooperatif menekankan pada k</w:t>
      </w:r>
      <w:r w:rsidR="006D254A" w:rsidRPr="006D254A">
        <w:rPr>
          <w:rFonts w:ascii="Georgia" w:eastAsia="Times New Roman" w:hAnsi="Georgia" w:cs="Times New Roman"/>
          <w:lang w:val="en-US"/>
        </w:rPr>
        <w:t xml:space="preserve">olaborasi, pemecahan masalah, konflik resolusi, dan bekerja </w:t>
      </w:r>
      <w:proofErr w:type="gramStart"/>
      <w:r w:rsidR="006D254A" w:rsidRPr="006D254A">
        <w:rPr>
          <w:rFonts w:ascii="Georgia" w:eastAsia="Times New Roman" w:hAnsi="Georgia" w:cs="Times New Roman"/>
          <w:lang w:val="en-US"/>
        </w:rPr>
        <w:t>sama</w:t>
      </w:r>
      <w:proofErr w:type="gramEnd"/>
      <w:r w:rsidR="006D254A" w:rsidRPr="006D254A">
        <w:rPr>
          <w:rFonts w:ascii="Georgia" w:eastAsia="Times New Roman" w:hAnsi="Georgia" w:cs="Times New Roman"/>
          <w:lang w:val="en-US"/>
        </w:rPr>
        <w:t xml:space="preserve"> adalah keterampilan hidup yang </w:t>
      </w:r>
      <w:r>
        <w:rPr>
          <w:rFonts w:ascii="Georgia" w:eastAsia="Times New Roman" w:hAnsi="Georgia" w:cs="Times New Roman"/>
          <w:lang w:val="en-US"/>
        </w:rPr>
        <w:t xml:space="preserve">sangat penting dan </w:t>
      </w:r>
      <w:r w:rsidR="006D254A" w:rsidRPr="006D254A">
        <w:rPr>
          <w:rFonts w:ascii="Georgia" w:eastAsia="Times New Roman" w:hAnsi="Georgia" w:cs="Times New Roman"/>
          <w:lang w:val="en-US"/>
        </w:rPr>
        <w:t xml:space="preserve">bagaimana </w:t>
      </w:r>
      <w:r>
        <w:rPr>
          <w:rFonts w:ascii="Georgia" w:eastAsia="Times New Roman" w:hAnsi="Georgia" w:cs="Times New Roman"/>
          <w:lang w:val="en-US"/>
        </w:rPr>
        <w:t>mengelompok</w:t>
      </w:r>
      <w:r w:rsidR="006D254A" w:rsidRPr="006D254A">
        <w:rPr>
          <w:rFonts w:ascii="Georgia" w:eastAsia="Times New Roman" w:hAnsi="Georgia" w:cs="Times New Roman"/>
          <w:lang w:val="en-US"/>
        </w:rPr>
        <w:t>an siswa</w:t>
      </w:r>
      <w:r>
        <w:rPr>
          <w:rFonts w:ascii="Georgia" w:eastAsia="Times New Roman" w:hAnsi="Georgia" w:cs="Times New Roman"/>
          <w:lang w:val="en-US"/>
        </w:rPr>
        <w:t xml:space="preserve"> pada kelas heterogen atau homogen</w:t>
      </w:r>
      <w:r w:rsidR="006D254A" w:rsidRPr="006D254A">
        <w:rPr>
          <w:rFonts w:ascii="Georgia" w:eastAsia="Times New Roman" w:hAnsi="Georgia" w:cs="Times New Roman"/>
          <w:lang w:val="en-US"/>
        </w:rPr>
        <w:t>.</w:t>
      </w:r>
      <w:r>
        <w:rPr>
          <w:rFonts w:ascii="Georgia" w:eastAsia="Times New Roman" w:hAnsi="Georgia" w:cs="Times New Roman"/>
          <w:lang w:val="en-US"/>
        </w:rPr>
        <w:t xml:space="preserve"> Pengelompokan bisa dikategorikan berdasarkan jenis kelamin, usia, minat, kecerdaan, dll </w:t>
      </w:r>
      <w:r>
        <w:rPr>
          <w:rFonts w:ascii="Georgia" w:eastAsia="Times New Roman" w:hAnsi="Georgia" w:cs="Times New Roman"/>
          <w:lang w:val="en-US"/>
        </w:rPr>
        <w:fldChar w:fldCharType="begin" w:fldLock="1"/>
      </w:r>
      <w:r w:rsidR="008471FC">
        <w:rPr>
          <w:rFonts w:ascii="Georgia" w:eastAsia="Times New Roman" w:hAnsi="Georgia" w:cs="Times New Roman"/>
          <w:lang w:val="en-US"/>
        </w:rPr>
        <w:instrText>ADDIN CSL_CITATION {"citationItems":[{"id":"ITEM-1","itemData":{"DOI":"10.1111/ssm.12427","ISSN":"19498594","abstract":"Cooperative learning is a proven teaching strategy that teachers have been using for over 40 years. Teachers often group students heterogeneously so that students who are lower achieving are learning with and from higher achieving students. The purpose of this study was to test homogeneous and heterogeneous grouping while using cooperative learning teaching structure. This study aimed to answer the question of whether students be grouped homogeneously or heterogeneously while participating in cooperative learning. The primary research design for this study was a quasi-experimental nonequivalent control-group design. A convenience sample of fifth-grade students was drawn from a Georgia elementary school in the 2017–2018 school year. The data were analyzed using analysis of covariance (ANCOVA) and paired samples t tests. The ANCOVA was run to compare the scores from the FOSS Survey/Posttest, and the analysis showed no significant difference between the homogeneous and heterogeneous group posttest scores. Both groups made significant gains (as shown by the results of the paired samples t-tests).","author":[{"dropping-particle":"","family":"Wyman","given":"Patricia J.","non-dropping-particle":"","parse-names":false,"suffix":""},{"dropping-particle":"","family":"Watson","given":"Scott B.","non-dropping-particle":"","parse-names":false,"suffix":""}],"container-title":"School Science and Mathematics","id":"ITEM-1","issue":"6","issued":{"date-parts":[["2020"]]},"page":"356-363","title":"Academic achievement with cooperative learning using homogeneous and heterogeneous groups","type":"article-journal","volume":"120"},"uris":["http://www.mendeley.com/documents/?uuid=798d8a1c-a458-4ae5-8684-706c2376b326"]}],"mendeley":{"formattedCitation":"(Wyman &amp; Watson, 2020)","plainTextFormattedCitation":"(Wyman &amp; Watson, 2020)","previouslyFormattedCitation":"(Wyman &amp; Watson, 2020)"},"properties":{"noteIndex":0},"schema":"https://github.com/citation-style-language/schema/raw/master/csl-citation.json"}</w:instrText>
      </w:r>
      <w:r>
        <w:rPr>
          <w:rFonts w:ascii="Georgia" w:eastAsia="Times New Roman" w:hAnsi="Georgia" w:cs="Times New Roman"/>
          <w:lang w:val="en-US"/>
        </w:rPr>
        <w:fldChar w:fldCharType="separate"/>
      </w:r>
      <w:r w:rsidRPr="00E23CCE">
        <w:rPr>
          <w:rFonts w:ascii="Georgia" w:eastAsia="Times New Roman" w:hAnsi="Georgia" w:cs="Times New Roman"/>
          <w:noProof/>
          <w:lang w:val="en-US"/>
        </w:rPr>
        <w:t>(Wyman &amp; Watson, 2020)</w:t>
      </w:r>
      <w:r>
        <w:rPr>
          <w:rFonts w:ascii="Georgia" w:eastAsia="Times New Roman" w:hAnsi="Georgia" w:cs="Times New Roman"/>
          <w:lang w:val="en-US"/>
        </w:rPr>
        <w:fldChar w:fldCharType="end"/>
      </w:r>
      <w:r>
        <w:rPr>
          <w:rFonts w:ascii="Georgia" w:eastAsia="Times New Roman" w:hAnsi="Georgia" w:cs="Times New Roman"/>
          <w:lang w:val="en-US"/>
        </w:rPr>
        <w:t>.</w:t>
      </w:r>
      <w:r w:rsidR="00C73B8A">
        <w:rPr>
          <w:rFonts w:ascii="Georgia" w:eastAsia="Times New Roman" w:hAnsi="Georgia" w:cs="Times New Roman"/>
          <w:lang w:val="en-US"/>
        </w:rPr>
        <w:t xml:space="preserve"> Selain itu juga memiliki beda etnis dan budaya yang berbeda</w:t>
      </w:r>
      <w:r w:rsidR="0084200B">
        <w:rPr>
          <w:rFonts w:ascii="Georgia" w:eastAsia="Times New Roman" w:hAnsi="Georgia" w:cs="Times New Roman"/>
          <w:lang w:val="en-US"/>
        </w:rPr>
        <w:t xml:space="preserve"> </w:t>
      </w:r>
      <w:r w:rsidR="0084200B">
        <w:rPr>
          <w:rFonts w:ascii="Georgia" w:eastAsia="Times New Roman" w:hAnsi="Georgia" w:cs="Times New Roman"/>
          <w:lang w:val="en-US"/>
        </w:rPr>
        <w:fldChar w:fldCharType="begin" w:fldLock="1"/>
      </w:r>
      <w:r w:rsidR="00482CCD">
        <w:rPr>
          <w:rFonts w:ascii="Georgia" w:eastAsia="Times New Roman" w:hAnsi="Georgia" w:cs="Times New Roman"/>
          <w:lang w:val="en-US"/>
        </w:rPr>
        <w:instrText>ADDIN CSL_CITATION {"citationItems":[{"id":"ITEM-1","itemData":{"DOI":"10.1080/02568543.2017.1385548","ISSN":"21502641","abstract":"© 2018 Association for Childhood Education International. In this study, the effects of applying the cooperative learning method on the students’ attitude toward democracy in an elementary 3rd-grade life studies course was examined. Over the course of 8 weeks, the cooperative learning method was applied with an experimental group, and traditional methods of teaching life studies in 2009, which was still in force, was applied with a control group. A significant and positive difference was found to the benefit of the experimental group, considering the posttest scores of the experimental and control groups on the democratic attitude scale. It was determined that the cooperative learning method has significant effects on the democratic attitude levels of students. With reference to the assumption that it is necessary to impress a consciousness of democracy and democratic values upon individuals from an early age, it has been found that significant gains can be obtained by applying the cooperative learning method in primary schools in terms of building a democratic society.","author":[{"dropping-particle":"","family":"Erbil","given":"Deniz Gökçe","non-dropping-particle":"","parse-names":false,"suffix":""},{"dropping-particle":"","family":"Kocabaş","given":"Ayfer","non-dropping-particle":"","parse-names":false,"suffix":""}],"container-title":"Journal of Research in Childhood Education","id":"ITEM-1","issue":"1","issued":{"date-parts":[["2018"]]},"page":"81-93","publisher":"Routledge","title":"Cooperative Learning as a Democratic Learning Method","type":"article-journal","volume":"32"},"uris":["http://www.mendeley.com/documents/?uuid=acc09a1a-0b52-4b62-b420-0172fd4d524f"]}],"mendeley":{"formattedCitation":"(Erbil &amp; Kocabaş, 2018)","plainTextFormattedCitation":"(Erbil &amp; Kocabaş, 2018)","previouslyFormattedCitation":"(Erbil &amp; Kocabaş, 2018)"},"properties":{"noteIndex":0},"schema":"https://github.com/citation-style-language/schema/raw/master/csl-citation.json"}</w:instrText>
      </w:r>
      <w:r w:rsidR="0084200B">
        <w:rPr>
          <w:rFonts w:ascii="Georgia" w:eastAsia="Times New Roman" w:hAnsi="Georgia" w:cs="Times New Roman"/>
          <w:lang w:val="en-US"/>
        </w:rPr>
        <w:fldChar w:fldCharType="separate"/>
      </w:r>
      <w:r w:rsidR="0084200B" w:rsidRPr="0084200B">
        <w:rPr>
          <w:rFonts w:ascii="Georgia" w:eastAsia="Times New Roman" w:hAnsi="Georgia" w:cs="Times New Roman"/>
          <w:noProof/>
          <w:lang w:val="en-US"/>
        </w:rPr>
        <w:t>(Erbil &amp; Kocabaş, 2018)</w:t>
      </w:r>
      <w:r w:rsidR="0084200B">
        <w:rPr>
          <w:rFonts w:ascii="Georgia" w:eastAsia="Times New Roman" w:hAnsi="Georgia" w:cs="Times New Roman"/>
          <w:lang w:val="en-US"/>
        </w:rPr>
        <w:fldChar w:fldCharType="end"/>
      </w:r>
      <w:r w:rsidR="00C73B8A">
        <w:rPr>
          <w:rFonts w:ascii="Georgia" w:eastAsia="Times New Roman" w:hAnsi="Georgia" w:cs="Times New Roman"/>
          <w:lang w:val="en-US"/>
        </w:rPr>
        <w:t xml:space="preserve">. Bentuk seperti ini </w:t>
      </w:r>
      <w:r w:rsidR="00C73B8A" w:rsidRPr="00C73B8A">
        <w:rPr>
          <w:rFonts w:ascii="Georgia" w:eastAsia="Times New Roman" w:hAnsi="Georgia" w:cs="Times New Roman"/>
          <w:lang w:val="en-US"/>
        </w:rPr>
        <w:t>menawarkan kesempatan untuk keterlibatan interaktif, terlihat mendorong partisipasi siswa, merangsang pemikiran kritis dan membutuhkan interaksi teman sebaya</w:t>
      </w:r>
      <w:r w:rsidR="0024265C">
        <w:rPr>
          <w:rFonts w:ascii="Georgia" w:eastAsia="Times New Roman" w:hAnsi="Georgia" w:cs="Times New Roman"/>
          <w:lang w:val="en-US"/>
        </w:rPr>
        <w:t xml:space="preserve"> </w:t>
      </w:r>
      <w:r w:rsidR="0024265C">
        <w:rPr>
          <w:rFonts w:ascii="Georgia" w:eastAsia="Times New Roman" w:hAnsi="Georgia" w:cs="Times New Roman"/>
          <w:lang w:val="en-US"/>
        </w:rPr>
        <w:fldChar w:fldCharType="begin" w:fldLock="1"/>
      </w:r>
      <w:r w:rsidR="0084200B">
        <w:rPr>
          <w:rFonts w:ascii="Georgia" w:eastAsia="Times New Roman" w:hAnsi="Georgia" w:cs="Times New Roman"/>
          <w:lang w:val="en-US"/>
        </w:rPr>
        <w:instrText>ADDIN CSL_CITATION {"citationItems":[{"id":"ITEM-1","itemData":{"DOI":"10.1080/07294360.2014.890571","ISSN":"14698366","abstract":"Interactive engagement (IE) is a process that promotes students' conceptual understanding through activities, combined with immediate feedback from peers and/or instructors. The present study investigates the impact of IE on students' academic performance, using the comprehensive model of educational effectiveness. Engineering students (n = 158), randomly divided into three groups (self-assessment, collaborative learning, and control) provided the study data on questionnaires as well as with their test scores. Analyses of covariance reveal significant differences across groups, along with significant interaction effects. These findings have notable implications for improving students' academic achievement.","author":[{"dropping-particle":"","family":"Tlhoaele","given":"Malefyane","non-dropping-particle":"","parse-names":false,"suffix":""},{"dropping-particle":"","family":"Hofman","given":"Adriaan","non-dropping-particle":"","parse-names":false,"suffix":""},{"dropping-particle":"","family":"Winnips","given":"Koos","non-dropping-particle":"","parse-names":false,"suffix":""},{"dropping-particle":"","family":"Beetsma","given":"Yta","non-dropping-particle":"","parse-names":false,"suffix":""}],"container-title":"Higher Education Research and Development","id":"ITEM-1","issue":"5","issued":{"date-parts":[["2014"]]},"page":"1020-1034","title":"The impact of interactive engagement methods on students' academic achievement","type":"article-journal","volume":"33"},"uris":["http://www.mendeley.com/documents/?uuid=1af4c2eb-e562-4d45-bb32-117be0f4e589"]}],"mendeley":{"formattedCitation":"(Tlhoaele et al., 2014)","plainTextFormattedCitation":"(Tlhoaele et al., 2014)","previouslyFormattedCitation":"(Tlhoaele et al., 2014)"},"properties":{"noteIndex":0},"schema":"https://github.com/citation-style-language/schema/raw/master/csl-citation.json"}</w:instrText>
      </w:r>
      <w:r w:rsidR="0024265C">
        <w:rPr>
          <w:rFonts w:ascii="Georgia" w:eastAsia="Times New Roman" w:hAnsi="Georgia" w:cs="Times New Roman"/>
          <w:lang w:val="en-US"/>
        </w:rPr>
        <w:fldChar w:fldCharType="separate"/>
      </w:r>
      <w:r w:rsidR="0024265C" w:rsidRPr="0024265C">
        <w:rPr>
          <w:rFonts w:ascii="Georgia" w:eastAsia="Times New Roman" w:hAnsi="Georgia" w:cs="Times New Roman"/>
          <w:noProof/>
          <w:lang w:val="en-US"/>
        </w:rPr>
        <w:t>(Tlhoaele et al., 2014)</w:t>
      </w:r>
      <w:r w:rsidR="0024265C">
        <w:rPr>
          <w:rFonts w:ascii="Georgia" w:eastAsia="Times New Roman" w:hAnsi="Georgia" w:cs="Times New Roman"/>
          <w:lang w:val="en-US"/>
        </w:rPr>
        <w:fldChar w:fldCharType="end"/>
      </w:r>
      <w:r w:rsidR="00091BE6">
        <w:rPr>
          <w:rFonts w:ascii="Georgia" w:eastAsia="Times New Roman" w:hAnsi="Georgia" w:cs="Times New Roman"/>
          <w:lang w:val="en-US"/>
        </w:rPr>
        <w:t>. Hal ini terbukti bahwa siswa di Australia, Singapura dan Malaysia</w:t>
      </w:r>
      <w:r w:rsidR="00905FA1">
        <w:rPr>
          <w:rFonts w:ascii="Georgia" w:eastAsia="Times New Roman" w:hAnsi="Georgia" w:cs="Times New Roman"/>
          <w:lang w:val="en-US"/>
        </w:rPr>
        <w:t xml:space="preserve"> </w:t>
      </w:r>
      <w:r w:rsidR="00091BE6" w:rsidRPr="00091BE6">
        <w:rPr>
          <w:rFonts w:ascii="Georgia" w:eastAsia="Times New Roman" w:hAnsi="Georgia" w:cs="Times New Roman"/>
          <w:lang w:val="en-US"/>
        </w:rPr>
        <w:t>untuk bekerja dalam kelompok seba</w:t>
      </w:r>
      <w:r w:rsidR="00091BE6">
        <w:rPr>
          <w:rFonts w:ascii="Georgia" w:eastAsia="Times New Roman" w:hAnsi="Georgia" w:cs="Times New Roman"/>
          <w:lang w:val="en-US"/>
        </w:rPr>
        <w:t>ya yang serupa secara budaya di</w:t>
      </w:r>
      <w:r w:rsidR="00091BE6" w:rsidRPr="00091BE6">
        <w:rPr>
          <w:rFonts w:ascii="Georgia" w:eastAsia="Times New Roman" w:hAnsi="Georgia" w:cs="Times New Roman"/>
          <w:lang w:val="en-US"/>
        </w:rPr>
        <w:t>mana a</w:t>
      </w:r>
      <w:r w:rsidR="00091BE6">
        <w:rPr>
          <w:rFonts w:ascii="Georgia" w:eastAsia="Times New Roman" w:hAnsi="Georgia" w:cs="Times New Roman"/>
          <w:lang w:val="en-US"/>
        </w:rPr>
        <w:t xml:space="preserve">nggota kelompok setuju daripada </w:t>
      </w:r>
      <w:r w:rsidR="00091BE6" w:rsidRPr="00091BE6">
        <w:rPr>
          <w:rFonts w:ascii="Georgia" w:eastAsia="Times New Roman" w:hAnsi="Georgia" w:cs="Times New Roman"/>
          <w:lang w:val="en-US"/>
        </w:rPr>
        <w:t>menantang cara berpikir mereka</w:t>
      </w:r>
      <w:r w:rsidR="008471FC">
        <w:rPr>
          <w:rFonts w:ascii="Georgia" w:eastAsia="Times New Roman" w:hAnsi="Georgia" w:cs="Times New Roman"/>
          <w:lang w:val="en-US"/>
        </w:rPr>
        <w:t xml:space="preserve"> </w:t>
      </w:r>
      <w:r w:rsidR="008471FC">
        <w:rPr>
          <w:rFonts w:ascii="Georgia" w:eastAsia="Times New Roman" w:hAnsi="Georgia" w:cs="Times New Roman"/>
          <w:lang w:val="en-US"/>
        </w:rPr>
        <w:fldChar w:fldCharType="begin" w:fldLock="1"/>
      </w:r>
      <w:r w:rsidR="0024265C">
        <w:rPr>
          <w:rFonts w:ascii="Georgia" w:eastAsia="Times New Roman" w:hAnsi="Georgia" w:cs="Times New Roman"/>
          <w:lang w:val="en-US"/>
        </w:rPr>
        <w:instrText>ADDIN CSL_CITATION {"citationItems":[{"id":"ITEM-1","itemData":{"DOI":"10.1080/07294360.2017.1359150","ISSN":"14698366","abstract":"© 2017 HERDSA. Postgraduate taught provision in Anglophone higher education contexts is becoming increasingly populated by cohorts of students from a wide range of linguistic, cultural and educational backgrounds. However, the voices of these students on their learning experiences remain largely unheard. Little previous research exists on the experiences of higher degree students as they participate in group work in multi-cultural settings. This study investigates the perspectives of students from a variety of educational backgrounds on their experiences of cooperative learning in multi-national groups on a Masters programme at a UK university. Seven focus groups were conducted with students from a range of countries including Confucian Heritage Cultures (CHC) and non-CHC backgrounds. Students perceived group work as often lacking adequate structure, leading to feelings of confusion and insecurity. While it was apparent that a complex interplay of cultural, cognitive, and linguistic factors impacted on the functioning of collaborative learning, the data highlighted the need to provide students with more structure and guidance for cooperative learning environments and the importance of creating intercultural learning opportunities for students to better understand the impact of cultural backgrounds on approaches to cooperative learning in multi-national situations.","author":[{"dropping-particle":"","family":"Hennebry","given":"Mairin Laura","non-dropping-particle":"","parse-names":false,"suffix":""},{"dropping-particle":"","family":"Fordyce","given":"Kenneth","non-dropping-particle":"","parse-names":false,"suffix":""}],"container-title":"Higher Education Research and Development","id":"ITEM-1","issue":"2","issued":{"date-parts":[["2018"]]},"page":"270-284","publisher":"Taylor &amp; Francis","title":"Cooperative learning on an international masters","type":"article-journal","volume":"37"},"uris":["http://www.mendeley.com/documents/?uuid=ba0fb30f-ab9a-4f7c-b07e-1c77565ba1dd"]}],"mendeley":{"formattedCitation":"(Hennebry &amp; Fordyce, 2018)","plainTextFormattedCitation":"(Hennebry &amp; Fordyce, 2018)","previouslyFormattedCitation":"(Hennebry &amp; Fordyce, 2018)"},"properties":{"noteIndex":0},"schema":"https://github.com/citation-style-language/schema/raw/master/csl-citation.json"}</w:instrText>
      </w:r>
      <w:r w:rsidR="008471FC">
        <w:rPr>
          <w:rFonts w:ascii="Georgia" w:eastAsia="Times New Roman" w:hAnsi="Georgia" w:cs="Times New Roman"/>
          <w:lang w:val="en-US"/>
        </w:rPr>
        <w:fldChar w:fldCharType="separate"/>
      </w:r>
      <w:r w:rsidR="008471FC" w:rsidRPr="008471FC">
        <w:rPr>
          <w:rFonts w:ascii="Georgia" w:eastAsia="Times New Roman" w:hAnsi="Georgia" w:cs="Times New Roman"/>
          <w:noProof/>
          <w:lang w:val="en-US"/>
        </w:rPr>
        <w:t>(Hennebry &amp; Fordyce, 2018)</w:t>
      </w:r>
      <w:r w:rsidR="008471FC">
        <w:rPr>
          <w:rFonts w:ascii="Georgia" w:eastAsia="Times New Roman" w:hAnsi="Georgia" w:cs="Times New Roman"/>
          <w:lang w:val="en-US"/>
        </w:rPr>
        <w:fldChar w:fldCharType="end"/>
      </w:r>
      <w:r w:rsidR="00091BE6" w:rsidRPr="00091BE6">
        <w:rPr>
          <w:rFonts w:ascii="Georgia" w:eastAsia="Times New Roman" w:hAnsi="Georgia" w:cs="Times New Roman"/>
          <w:lang w:val="en-US"/>
        </w:rPr>
        <w:t>.</w:t>
      </w:r>
      <w:r w:rsidR="00293448">
        <w:rPr>
          <w:rFonts w:ascii="Georgia" w:eastAsia="Times New Roman" w:hAnsi="Georgia" w:cs="Times New Roman"/>
          <w:lang w:val="en-US"/>
        </w:rPr>
        <w:t xml:space="preserve"> </w:t>
      </w:r>
      <w:r w:rsidR="00293448" w:rsidRPr="00293448">
        <w:rPr>
          <w:rFonts w:ascii="Georgia" w:eastAsia="Times New Roman" w:hAnsi="Georgia" w:cs="Times New Roman"/>
          <w:lang w:val="en-US"/>
        </w:rPr>
        <w:t>Selama 20 tahun terakhir, semakin bany</w:t>
      </w:r>
      <w:r w:rsidR="00293448">
        <w:rPr>
          <w:rFonts w:ascii="Georgia" w:eastAsia="Times New Roman" w:hAnsi="Georgia" w:cs="Times New Roman"/>
          <w:lang w:val="en-US"/>
        </w:rPr>
        <w:t>ak penelitian tentang teori dan praktek p</w:t>
      </w:r>
      <w:r w:rsidR="00293448" w:rsidRPr="00293448">
        <w:rPr>
          <w:rFonts w:ascii="Georgia" w:eastAsia="Times New Roman" w:hAnsi="Georgia" w:cs="Times New Roman"/>
          <w:lang w:val="en-US"/>
        </w:rPr>
        <w:t>embelajaran Kooperatif telah dikaitkan dengan pendidikan jasmani</w:t>
      </w:r>
      <w:r w:rsidR="00091BE6">
        <w:rPr>
          <w:rFonts w:ascii="Georgia" w:eastAsia="Times New Roman" w:hAnsi="Georgia" w:cs="Times New Roman"/>
          <w:lang w:val="en-US"/>
        </w:rPr>
        <w:t xml:space="preserve"> </w:t>
      </w:r>
      <w:r w:rsidR="00482CCD">
        <w:rPr>
          <w:rFonts w:ascii="Georgia" w:eastAsia="Times New Roman" w:hAnsi="Georgia" w:cs="Times New Roman"/>
          <w:lang w:val="en-US"/>
        </w:rPr>
        <w:t xml:space="preserve">dalam meningkatkan akademik siswa </w:t>
      </w:r>
      <w:r w:rsidR="00482CCD">
        <w:rPr>
          <w:rFonts w:ascii="Georgia" w:eastAsia="Times New Roman" w:hAnsi="Georgia" w:cs="Times New Roman"/>
          <w:lang w:val="en-US"/>
        </w:rPr>
        <w:fldChar w:fldCharType="begin" w:fldLock="1"/>
      </w:r>
      <w:r w:rsidR="001C21B2">
        <w:rPr>
          <w:rFonts w:ascii="Georgia" w:eastAsia="Times New Roman" w:hAnsi="Georgia" w:cs="Times New Roman"/>
          <w:lang w:val="en-US"/>
        </w:rPr>
        <w:instrText>ADDIN CSL_CITATION {"citationItems":[{"id":"ITEM-1","itemData":{"DOI":"10.1080/13573322.2012.707124","ISSN":"14701243","abstract":"Research suggests that girls are disengaged in physical education due to the 'traditional' way that it is taught, i.e. teacher-centred approaches with a primary focus on motor performance. In contrast, Cooperative Learning, a student-centred pedagogy focusing on learning in multiple domains, has had success in engaging girls in physical education. Furthermore, when cooperative group work has been combined with technology, student engagement with learning is heightened. This article discusses the use of Cooperative Learning and video cameras to bring about a positive change to the learning environment for girls who were identified as being disengaged in physical education. Two classes of adolescent girls were taught an eight-lesson unit of Basketball using Cooperative Learning. Students worked in learning teams, participating in different roles, such as a coach or a camerawoman, to help each other learn and to film video clips of their learning. Data collection included a teacher's reflective journal, post-lesson teacher analysis tool, student interviews and the analysis of learning teams' movies. Inductive analysis and constant comparison was used for data analyses. Findings suggest that the role of the coach and the camerawoman was pivotal to girls' engagement. Some girls only 'fully' participated in lessons when learning was within the social and cognitive domains, since they could 'hide behind the camera' and were not required to participate physically. We controversially suggest that, in order to engage girls in physical education, we may have to temporarily remove the physical domain of learning (at least for some girls) in order to positively affect their longer term engagement in the subject. © 2012 © 2012 Taylor &amp; Francis.","author":[{"dropping-particle":"","family":"Goodyear","given":"Victoria A.","non-dropping-particle":"","parse-names":false,"suffix":""},{"dropping-particle":"","family":"Casey","given":"Ashley","non-dropping-particle":"","parse-names":false,"suffix":""},{"dropping-particle":"","family":"Kirk","given":"David","non-dropping-particle":"","parse-names":false,"suffix":""}],"container-title":"Sport, Education and Society","id":"ITEM-1","issue":"6","issued":{"date-parts":[["2014"]]},"page":"712-734","title":"Hiding behind the camera: Social learning within the Cooperative Learning Model to engage girls in physical education","type":"article-journal","volume":"19"},"uris":["http://www.mendeley.com/documents/?uuid=a021266c-1205-4d57-b7ba-0891d35c7eea"]}],"mendeley":{"formattedCitation":"(Goodyear et al., 2014)","plainTextFormattedCitation":"(Goodyear et al., 2014)","previouslyFormattedCitation":"(Goodyear et al., 2014)"},"properties":{"noteIndex":0},"schema":"https://github.com/citation-style-language/schema/raw/master/csl-citation.json"}</w:instrText>
      </w:r>
      <w:r w:rsidR="00482CCD">
        <w:rPr>
          <w:rFonts w:ascii="Georgia" w:eastAsia="Times New Roman" w:hAnsi="Georgia" w:cs="Times New Roman"/>
          <w:lang w:val="en-US"/>
        </w:rPr>
        <w:fldChar w:fldCharType="separate"/>
      </w:r>
      <w:r w:rsidR="00482CCD" w:rsidRPr="00482CCD">
        <w:rPr>
          <w:rFonts w:ascii="Georgia" w:eastAsia="Times New Roman" w:hAnsi="Georgia" w:cs="Times New Roman"/>
          <w:noProof/>
          <w:lang w:val="en-US"/>
        </w:rPr>
        <w:t>(Goodyear et al., 2014)</w:t>
      </w:r>
      <w:r w:rsidR="00482CCD">
        <w:rPr>
          <w:rFonts w:ascii="Georgia" w:eastAsia="Times New Roman" w:hAnsi="Georgia" w:cs="Times New Roman"/>
          <w:lang w:val="en-US"/>
        </w:rPr>
        <w:fldChar w:fldCharType="end"/>
      </w:r>
      <w:r w:rsidR="00482CCD">
        <w:rPr>
          <w:rFonts w:ascii="Georgia" w:eastAsia="Times New Roman" w:hAnsi="Georgia" w:cs="Times New Roman"/>
          <w:lang w:val="en-US"/>
        </w:rPr>
        <w:t>. Mengenai domain fisik, pembelajaran k</w:t>
      </w:r>
      <w:r w:rsidR="00482CCD" w:rsidRPr="00482CCD">
        <w:rPr>
          <w:rFonts w:ascii="Georgia" w:eastAsia="Times New Roman" w:hAnsi="Georgia" w:cs="Times New Roman"/>
          <w:lang w:val="en-US"/>
        </w:rPr>
        <w:t>o</w:t>
      </w:r>
      <w:r w:rsidR="00482CCD">
        <w:rPr>
          <w:rFonts w:ascii="Georgia" w:eastAsia="Times New Roman" w:hAnsi="Georgia" w:cs="Times New Roman"/>
          <w:lang w:val="en-US"/>
        </w:rPr>
        <w:t xml:space="preserve">operatif telah dikaitkan dengan </w:t>
      </w:r>
      <w:r w:rsidR="00482CCD" w:rsidRPr="00482CCD">
        <w:rPr>
          <w:rFonts w:ascii="Georgia" w:eastAsia="Times New Roman" w:hAnsi="Georgia" w:cs="Times New Roman"/>
          <w:lang w:val="en-US"/>
        </w:rPr>
        <w:t>peningkatan keterampilan motorik, teknik olahraga dan kinerja permainan, yang menyebabkan peningkatan tingkat aktivitas fisik</w:t>
      </w:r>
      <w:r w:rsidR="00E23289">
        <w:rPr>
          <w:rFonts w:ascii="Georgia" w:eastAsia="Times New Roman" w:hAnsi="Georgia" w:cs="Times New Roman"/>
          <w:lang w:val="en-US"/>
        </w:rPr>
        <w:t xml:space="preserve"> </w:t>
      </w:r>
      <w:r w:rsidR="00E23289">
        <w:rPr>
          <w:rFonts w:ascii="Georgia" w:eastAsia="Times New Roman" w:hAnsi="Georgia" w:cs="Times New Roman"/>
          <w:lang w:val="en-US"/>
        </w:rPr>
        <w:fldChar w:fldCharType="begin" w:fldLock="1"/>
      </w:r>
      <w:r w:rsidR="00597D22">
        <w:rPr>
          <w:rFonts w:ascii="Georgia" w:eastAsia="Times New Roman" w:hAnsi="Georgia" w:cs="Times New Roman"/>
          <w:lang w:val="en-US"/>
        </w:rPr>
        <w:instrText>ADDIN CSL_CITATION {"citationItems":[{"id":"ITEM-1","itemData":{"DOI":"10.1080/17408989.2012.726977","ISSN":"17408989","abstract":"Background: Many critical curriculum theorists in physical education have advocated a model- or models-based approach to teaching in the subject. This paper explores the literature base around models-based practice (MBP) and asks if this multi-models approach to curriculum planning has the potential to be the great white hope of pedagogical change or, if in fact, it is a white elephant that should be reconsidered or abandoned.Purpose: To review the literature around pedagogical and curricular change in physical education that relates to teachers experience of models-based practice. This review of research on teachers' perceptions and use of MBP was undertaken in an effort to ascertain the ways in which practitioners' interpreted this type of change in practice.Data collection: Papers were selected by searching EBSCO databases with the identifiers \"Instructional Models\", \"Sport Education\", \"Teaching Games for Understanding\" and their hybrids, \"Cooperative learning\", \"Teaching Personal and Social Responsibility\", \"Personalised System of Instruction\" \"Peer Teaching Model\" and \"Inquiry Teaching.\" These were chosen as they match the seven innovative models in Metzler's (2010) compendium of instructional models. Further articles were obtained through the citations and references in the original documents.Data analysis: Analysis of the 45 papers followed a systematic process of inductive analysis and constant comparison. The categories, which emerged from the analysis, were based upon the researcher's perceptions of findings and revealed five key findings/themes; (i) change for teachers, (ii) difficultly and time, (iii) diversification in the teacher's role, (iv) evidence of effectiveness and (iv) university/teacher collaboration.Findings: While changes in attitude, positive feelings, efficacy, enthusiasm and vigour were reported by teachers, there was also an acknowledgement that they lacked experience in using MBP which made them feel like they were 'beginning teachers' again. For some the conceptual shift was too much and they deliberately returned to their old pedagogies. For others, the change occurred slowly but gradually over the course of the intervention. When professional learning was part of the relationship between the teachers and researchers, then these returns to old practices was not reported. However, it was acknowledged that to engage with MBP required greater effort on behalf of the teacher and that to feel comfortable could take upwards of …","author":[{"dropping-particle":"","family":"Casey","given":"Ashley","non-dropping-particle":"","parse-names":false,"suffix":""}],"container-title":"Physical Education and Sport Pedagogy","id":"ITEM-1","issue":"1","issued":{"date-parts":[["2014"]]},"page":"18-34","title":"Models-based practice: Great white hope or white elephant?","type":"article-journal","volume":"19"},"uris":["http://www.mendeley.com/documents/?uuid=4543ad60-dc2f-4869-9c32-65ca271bfcd2"]}],"mendeley":{"formattedCitation":"(Casey, 2014)","plainTextFormattedCitation":"(Casey, 2014)","previouslyFormattedCitation":"(Casey, 2014)"},"properties":{"noteIndex":0},"schema":"https://github.com/citation-style-language/schema/raw/master/csl-citation.json"}</w:instrText>
      </w:r>
      <w:r w:rsidR="00E23289">
        <w:rPr>
          <w:rFonts w:ascii="Georgia" w:eastAsia="Times New Roman" w:hAnsi="Georgia" w:cs="Times New Roman"/>
          <w:lang w:val="en-US"/>
        </w:rPr>
        <w:fldChar w:fldCharType="separate"/>
      </w:r>
      <w:r w:rsidR="00E23289" w:rsidRPr="00E23289">
        <w:rPr>
          <w:rFonts w:ascii="Georgia" w:eastAsia="Times New Roman" w:hAnsi="Georgia" w:cs="Times New Roman"/>
          <w:noProof/>
          <w:lang w:val="en-US"/>
        </w:rPr>
        <w:t>(Casey, 2014)</w:t>
      </w:r>
      <w:r w:rsidR="00E23289">
        <w:rPr>
          <w:rFonts w:ascii="Georgia" w:eastAsia="Times New Roman" w:hAnsi="Georgia" w:cs="Times New Roman"/>
          <w:lang w:val="en-US"/>
        </w:rPr>
        <w:fldChar w:fldCharType="end"/>
      </w:r>
      <w:r w:rsidR="00482CCD">
        <w:rPr>
          <w:rFonts w:ascii="Georgia" w:eastAsia="Times New Roman" w:hAnsi="Georgia" w:cs="Times New Roman"/>
          <w:lang w:val="en-US"/>
        </w:rPr>
        <w:t xml:space="preserve">. </w:t>
      </w:r>
      <w:r w:rsidR="001777DE">
        <w:rPr>
          <w:rFonts w:ascii="Georgia" w:eastAsia="Times New Roman" w:hAnsi="Georgia" w:cs="Times New Roman"/>
          <w:lang w:val="en-US"/>
        </w:rPr>
        <w:t xml:space="preserve">Permain lari estafet merupakan salah satu materi yang digemari oleh anak sekolah dasar, dimana melatih kebugaran, kekuatan, membangun strategi, naral dan kecerdasan intelektual tapi juga </w:t>
      </w:r>
      <w:r w:rsidR="001C21B2">
        <w:rPr>
          <w:rFonts w:ascii="Georgia" w:eastAsia="Times New Roman" w:hAnsi="Georgia" w:cs="Times New Roman"/>
          <w:lang w:val="en-US"/>
        </w:rPr>
        <w:t xml:space="preserve">mengembangkan elemen-elemen pedagogis </w:t>
      </w:r>
      <w:r w:rsidR="001777DE">
        <w:rPr>
          <w:rFonts w:ascii="Georgia" w:eastAsia="Times New Roman" w:hAnsi="Georgia" w:cs="Times New Roman"/>
          <w:lang w:val="en-US"/>
        </w:rPr>
        <w:t>lain berupa</w:t>
      </w:r>
      <w:r w:rsidR="001C21B2">
        <w:rPr>
          <w:rFonts w:ascii="Georgia" w:eastAsia="Times New Roman" w:hAnsi="Georgia" w:cs="Times New Roman"/>
          <w:lang w:val="en-US"/>
        </w:rPr>
        <w:t xml:space="preserve"> menumbuhkan rasa e</w:t>
      </w:r>
      <w:r w:rsidR="001C21B2" w:rsidRPr="001C21B2">
        <w:rPr>
          <w:rFonts w:ascii="Georgia" w:eastAsia="Times New Roman" w:hAnsi="Georgia" w:cs="Times New Roman"/>
          <w:lang w:val="en-US"/>
        </w:rPr>
        <w:t xml:space="preserve">mpati, kepedulian, rasa </w:t>
      </w:r>
      <w:r w:rsidR="001C21B2">
        <w:rPr>
          <w:rFonts w:ascii="Georgia" w:eastAsia="Times New Roman" w:hAnsi="Georgia" w:cs="Times New Roman"/>
          <w:lang w:val="en-US"/>
        </w:rPr>
        <w:t xml:space="preserve">saling </w:t>
      </w:r>
      <w:r w:rsidR="001C21B2" w:rsidRPr="001C21B2">
        <w:rPr>
          <w:rFonts w:ascii="Georgia" w:eastAsia="Times New Roman" w:hAnsi="Georgia" w:cs="Times New Roman"/>
          <w:lang w:val="en-US"/>
        </w:rPr>
        <w:t>hormat</w:t>
      </w:r>
      <w:r w:rsidR="001C21B2">
        <w:rPr>
          <w:rFonts w:ascii="Georgia" w:eastAsia="Times New Roman" w:hAnsi="Georgia" w:cs="Times New Roman"/>
          <w:lang w:val="en-US"/>
        </w:rPr>
        <w:t>i</w:t>
      </w:r>
      <w:r w:rsidR="001C21B2" w:rsidRPr="001C21B2">
        <w:rPr>
          <w:rFonts w:ascii="Georgia" w:eastAsia="Times New Roman" w:hAnsi="Georgia" w:cs="Times New Roman"/>
          <w:lang w:val="en-US"/>
        </w:rPr>
        <w:t>, dukungan, doron</w:t>
      </w:r>
      <w:r w:rsidR="001C21B2">
        <w:rPr>
          <w:rFonts w:ascii="Georgia" w:eastAsia="Times New Roman" w:hAnsi="Georgia" w:cs="Times New Roman"/>
          <w:lang w:val="en-US"/>
        </w:rPr>
        <w:t xml:space="preserve">gan atau kerja </w:t>
      </w:r>
      <w:proofErr w:type="gramStart"/>
      <w:r w:rsidR="001C21B2">
        <w:rPr>
          <w:rFonts w:ascii="Georgia" w:eastAsia="Times New Roman" w:hAnsi="Georgia" w:cs="Times New Roman"/>
          <w:lang w:val="en-US"/>
        </w:rPr>
        <w:t>tim</w:t>
      </w:r>
      <w:proofErr w:type="gramEnd"/>
      <w:r w:rsidR="001C21B2">
        <w:rPr>
          <w:rFonts w:ascii="Georgia" w:eastAsia="Times New Roman" w:hAnsi="Georgia" w:cs="Times New Roman"/>
          <w:lang w:val="en-US"/>
        </w:rPr>
        <w:t xml:space="preserve">, antara lain. </w:t>
      </w:r>
      <w:r w:rsidR="001C21B2" w:rsidRPr="001C21B2">
        <w:rPr>
          <w:rFonts w:ascii="Georgia" w:eastAsia="Times New Roman" w:hAnsi="Georgia" w:cs="Times New Roman"/>
          <w:lang w:val="en-US"/>
        </w:rPr>
        <w:t xml:space="preserve"> </w:t>
      </w:r>
      <w:r w:rsidR="001C21B2">
        <w:rPr>
          <w:rFonts w:ascii="Georgia" w:eastAsia="Times New Roman" w:hAnsi="Georgia" w:cs="Times New Roman"/>
          <w:lang w:val="en-US"/>
        </w:rPr>
        <w:t>N</w:t>
      </w:r>
      <w:r w:rsidR="001C21B2" w:rsidRPr="001C21B2">
        <w:rPr>
          <w:rFonts w:ascii="Georgia" w:eastAsia="Times New Roman" w:hAnsi="Georgia" w:cs="Times New Roman"/>
          <w:lang w:val="en-US"/>
        </w:rPr>
        <w:t>ilai-nilai</w:t>
      </w:r>
      <w:r w:rsidR="001C21B2">
        <w:rPr>
          <w:rFonts w:ascii="Georgia" w:eastAsia="Times New Roman" w:hAnsi="Georgia" w:cs="Times New Roman"/>
          <w:lang w:val="en-US"/>
        </w:rPr>
        <w:t xml:space="preserve"> </w:t>
      </w:r>
      <w:r w:rsidR="001C21B2" w:rsidRPr="001C21B2">
        <w:rPr>
          <w:rFonts w:ascii="Georgia" w:eastAsia="Times New Roman" w:hAnsi="Georgia" w:cs="Times New Roman"/>
          <w:lang w:val="en-US"/>
        </w:rPr>
        <w:t>terkait dengan model pedagogis ini yang mendorong hubungan sosial yang baik di antara siswa</w:t>
      </w:r>
      <w:r w:rsidR="001C21B2">
        <w:rPr>
          <w:rFonts w:ascii="Georgia" w:eastAsia="Times New Roman" w:hAnsi="Georgia" w:cs="Times New Roman"/>
          <w:lang w:val="en-US"/>
        </w:rPr>
        <w:t xml:space="preserve"> </w:t>
      </w:r>
      <w:r w:rsidR="001C21B2">
        <w:rPr>
          <w:rFonts w:ascii="Georgia" w:eastAsia="Times New Roman" w:hAnsi="Georgia" w:cs="Times New Roman"/>
          <w:lang w:val="en-US"/>
        </w:rPr>
        <w:fldChar w:fldCharType="begin" w:fldLock="1"/>
      </w:r>
      <w:r w:rsidR="00E23289">
        <w:rPr>
          <w:rFonts w:ascii="Georgia" w:eastAsia="Times New Roman" w:hAnsi="Georgia" w:cs="Times New Roman"/>
          <w:lang w:val="en-US"/>
        </w:rPr>
        <w:instrText>ADDIN CSL_CITATION {"citationItems":[{"id":"ITEM-1","itemData":{"DOI":"10.1080/17408989.2015.1123238","ISSN":"17425786","abstract":"Background: Cooperative Learning has been recently defined as a true pedagogical model. Moreover, in a recent review Casey and Goodyear reported that it can help physical education promote the four basic learning outcomes: physical, cognitive, social and affective. Purpose: The main goal was to investigate the impact of a sustained Cooperative Learning intervention on student motivation. The second goal was to assess students’ perceptions of the Cooperative Learning class climate. Finally, the third goal was to explore students’ feelings and thoughts after experiencing Cooperative Learning in physical education for an extended period of time. Participants and settings: 249 students (grades 8–11) and 4 teachers enrolled in 4 different high schools agreed to participate. Each school administration allocated several class groups to each teacher based on its necessities. Therefore, intact physical education classes played a part in this research project. They were randomly distributed into an experimental group with 137 students (mean age 13.91 ± 1.76 years), which experienced 3 consecutive cooperative learning units, and a comparison group with 112 students (mean age 13.41 ± 1.25 years), which experienced a traditional teaching approach during the same length of time. Research design: A pre-test, post-test, quasi-experimental, comparison group design was followed. Data collection: Prior to and at the end of the intervention programme, all participating students were asked to complete a questionnaire, which included the Perceived Locus of Causality Scale and the subscale ‘Cooperative Learning’ of the Perceived Motivational Climate Questionnaire. At post-test, participants in the experimental group were also asked to: ‘Describe your feelings, your thoughts and your ideas on the three Cooperative Learning units that you just experienced in physical education’. Data analysis: Quantitative data was analysed using SPSS 22.0, while MAXQDA 11 was used to assist with qualitative data management. Findings: Quantitative data showed an increase in intrinsic motivation and identified regulation only in the experimental group. This group also increased its perceptions of a Cooperative Learning class climate. Qualitative data analysis of the students’ responses after experiencing Cooperative Learning on a sustained basis produced five major themes: cooperation, relatedness, enjoyment, novelty and disappointment. All these findings are in line with Vallerand's hierarchica…","author":[{"dropping-particle":"","family":"Fernandez-Rio","given":"Javier","non-dropping-particle":"","parse-names":false,"suffix":""},{"dropping-particle":"","family":"Sanz","given":"Naira","non-dropping-particle":"","parse-names":false,"suffix":""},{"dropping-particle":"","family":"Fernandez-Cando","given":"Judith","non-dropping-particle":"","parse-names":false,"suffix":""},{"dropping-particle":"","family":"Santos","given":"Luis","non-dropping-particle":"","parse-names":false,"suffix":""}],"container-title":"Physical Education and Sport Pedagogy","id":"ITEM-1","issue":"1","issued":{"date-parts":[["2017"]]},"page":"89-105","title":"Impact of a sustained Cooperative Learning intervention on student motivation","type":"article-journal","volume":"22"},"uris":["http://www.mendeley.com/documents/?uuid=8781ec68-40ff-415a-84b6-57467abd2ad2"]}],"mendeley":{"formattedCitation":"(Fernandez-Rio et al., 2017)","plainTextFormattedCitation":"(Fernandez-Rio et al., 2017)","previouslyFormattedCitation":"(Fernandez-Rio et al., 2017)"},"properties":{"noteIndex":0},"schema":"https://github.com/citation-style-language/schema/raw/master/csl-citation.json"}</w:instrText>
      </w:r>
      <w:r w:rsidR="001C21B2">
        <w:rPr>
          <w:rFonts w:ascii="Georgia" w:eastAsia="Times New Roman" w:hAnsi="Georgia" w:cs="Times New Roman"/>
          <w:lang w:val="en-US"/>
        </w:rPr>
        <w:fldChar w:fldCharType="separate"/>
      </w:r>
      <w:r w:rsidR="001C21B2" w:rsidRPr="001C21B2">
        <w:rPr>
          <w:rFonts w:ascii="Georgia" w:eastAsia="Times New Roman" w:hAnsi="Georgia" w:cs="Times New Roman"/>
          <w:noProof/>
          <w:lang w:val="en-US"/>
        </w:rPr>
        <w:t>(Fernandez-Rio et al., 2017)</w:t>
      </w:r>
      <w:r w:rsidR="001C21B2">
        <w:rPr>
          <w:rFonts w:ascii="Georgia" w:eastAsia="Times New Roman" w:hAnsi="Georgia" w:cs="Times New Roman"/>
          <w:lang w:val="en-US"/>
        </w:rPr>
        <w:fldChar w:fldCharType="end"/>
      </w:r>
      <w:r w:rsidR="006D63C8">
        <w:rPr>
          <w:rFonts w:ascii="Georgia" w:eastAsia="Times New Roman" w:hAnsi="Georgia" w:cs="Times New Roman"/>
          <w:lang w:val="en-US"/>
        </w:rPr>
        <w:t>.</w:t>
      </w:r>
    </w:p>
    <w:p w14:paraId="1F00457B" w14:textId="31921F2F" w:rsidR="006D63C8" w:rsidRDefault="006D63C8" w:rsidP="00393069">
      <w:pPr>
        <w:spacing w:after="0" w:line="240" w:lineRule="auto"/>
        <w:ind w:firstLine="567"/>
        <w:jc w:val="both"/>
        <w:rPr>
          <w:rFonts w:ascii="Georgia" w:eastAsia="Times New Roman" w:hAnsi="Georgia" w:cs="Times New Roman"/>
          <w:lang w:val="en-US"/>
        </w:rPr>
      </w:pPr>
      <w:proofErr w:type="gramStart"/>
      <w:r>
        <w:rPr>
          <w:rFonts w:ascii="Georgia" w:eastAsia="Times New Roman" w:hAnsi="Georgia" w:cs="Times New Roman"/>
          <w:lang w:val="en-US"/>
        </w:rPr>
        <w:t xml:space="preserve">Pembelajaran kooperatif </w:t>
      </w:r>
      <w:r w:rsidRPr="006D63C8">
        <w:rPr>
          <w:rFonts w:ascii="Georgia" w:eastAsia="Times New Roman" w:hAnsi="Georgia" w:cs="Times New Roman"/>
          <w:lang w:val="en-US"/>
        </w:rPr>
        <w:t>memiliki potensi untuk mempromosikan pembel</w:t>
      </w:r>
      <w:r>
        <w:rPr>
          <w:rFonts w:ascii="Georgia" w:eastAsia="Times New Roman" w:hAnsi="Georgia" w:cs="Times New Roman"/>
          <w:lang w:val="en-US"/>
        </w:rPr>
        <w:t xml:space="preserve">ajaran </w:t>
      </w:r>
      <w:r w:rsidRPr="006D63C8">
        <w:rPr>
          <w:rFonts w:ascii="Georgia" w:eastAsia="Times New Roman" w:hAnsi="Georgia" w:cs="Times New Roman"/>
          <w:lang w:val="en-US"/>
        </w:rPr>
        <w:t>yang mendalam dengan mendorong interaksi dan</w:t>
      </w:r>
      <w:r>
        <w:rPr>
          <w:rFonts w:ascii="Georgia" w:eastAsia="Times New Roman" w:hAnsi="Georgia" w:cs="Times New Roman"/>
          <w:lang w:val="en-US"/>
        </w:rPr>
        <w:t xml:space="preserve"> </w:t>
      </w:r>
      <w:r w:rsidRPr="006D63C8">
        <w:rPr>
          <w:rFonts w:ascii="Georgia" w:eastAsia="Times New Roman" w:hAnsi="Georgia" w:cs="Times New Roman"/>
          <w:lang w:val="en-US"/>
        </w:rPr>
        <w:t xml:space="preserve">keragaman perspektif antara </w:t>
      </w:r>
      <w:r>
        <w:rPr>
          <w:rFonts w:ascii="Georgia" w:eastAsia="Times New Roman" w:hAnsi="Georgia" w:cs="Times New Roman"/>
          <w:lang w:val="en-US"/>
        </w:rPr>
        <w:t>siswa</w:t>
      </w:r>
      <w:r w:rsidRPr="006D63C8">
        <w:rPr>
          <w:rFonts w:ascii="Georgia" w:eastAsia="Times New Roman" w:hAnsi="Georgia" w:cs="Times New Roman"/>
          <w:lang w:val="en-US"/>
        </w:rPr>
        <w:t>.</w:t>
      </w:r>
      <w:proofErr w:type="gramEnd"/>
      <w:r w:rsidRPr="006D63C8">
        <w:rPr>
          <w:rFonts w:ascii="Georgia" w:eastAsia="Times New Roman" w:hAnsi="Georgia" w:cs="Times New Roman"/>
          <w:lang w:val="en-US"/>
        </w:rPr>
        <w:t xml:space="preserve"> Denga</w:t>
      </w:r>
      <w:r>
        <w:rPr>
          <w:rFonts w:ascii="Georgia" w:eastAsia="Times New Roman" w:hAnsi="Georgia" w:cs="Times New Roman"/>
          <w:lang w:val="en-US"/>
        </w:rPr>
        <w:t xml:space="preserve">n demikian, bila dibandingkan dengan </w:t>
      </w:r>
      <w:r w:rsidRPr="006D63C8">
        <w:rPr>
          <w:rFonts w:ascii="Georgia" w:eastAsia="Times New Roman" w:hAnsi="Georgia" w:cs="Times New Roman"/>
          <w:lang w:val="en-US"/>
        </w:rPr>
        <w:t>tradisional, kompetitif,</w:t>
      </w:r>
      <w:r>
        <w:rPr>
          <w:rFonts w:ascii="Georgia" w:eastAsia="Times New Roman" w:hAnsi="Georgia" w:cs="Times New Roman"/>
          <w:lang w:val="en-US"/>
        </w:rPr>
        <w:t xml:space="preserve"> </w:t>
      </w:r>
      <w:r w:rsidRPr="006D63C8">
        <w:rPr>
          <w:rFonts w:ascii="Georgia" w:eastAsia="Times New Roman" w:hAnsi="Georgia" w:cs="Times New Roman"/>
          <w:lang w:val="en-US"/>
        </w:rPr>
        <w:t>dan pendekatan individualistis, pembelajaran kooperatif telah menunjukkan dampak positif yang signifikan terhadap prestasi siswa dan persepsi belaja</w:t>
      </w:r>
      <w:r>
        <w:rPr>
          <w:rFonts w:ascii="Georgia" w:eastAsia="Times New Roman" w:hAnsi="Georgia" w:cs="Times New Roman"/>
          <w:lang w:val="en-US"/>
        </w:rPr>
        <w:t>r yang mengarahkan pada perbaikan kognisi</w:t>
      </w:r>
      <w:r w:rsidR="00D32263">
        <w:rPr>
          <w:rFonts w:ascii="Georgia" w:eastAsia="Times New Roman" w:hAnsi="Georgia" w:cs="Times New Roman"/>
          <w:lang w:val="en-US"/>
        </w:rPr>
        <w:t xml:space="preserve"> akademik</w:t>
      </w:r>
      <w:r>
        <w:rPr>
          <w:rFonts w:ascii="Georgia" w:eastAsia="Times New Roman" w:hAnsi="Georgia" w:cs="Times New Roman"/>
          <w:lang w:val="en-US"/>
        </w:rPr>
        <w:t xml:space="preserve"> dan moral siswa</w:t>
      </w:r>
      <w:r w:rsidR="00597D22">
        <w:rPr>
          <w:rFonts w:ascii="Georgia" w:eastAsia="Times New Roman" w:hAnsi="Georgia" w:cs="Times New Roman"/>
          <w:lang w:val="en-US"/>
        </w:rPr>
        <w:t xml:space="preserve"> </w:t>
      </w:r>
      <w:r w:rsidR="00597D22">
        <w:rPr>
          <w:rFonts w:ascii="Georgia" w:eastAsia="Times New Roman" w:hAnsi="Georgia" w:cs="Times New Roman"/>
          <w:lang w:val="en-US"/>
        </w:rPr>
        <w:fldChar w:fldCharType="begin" w:fldLock="1"/>
      </w:r>
      <w:r w:rsidR="00D94ADC">
        <w:rPr>
          <w:rFonts w:ascii="Georgia" w:eastAsia="Times New Roman" w:hAnsi="Georgia" w:cs="Times New Roman"/>
          <w:lang w:val="en-US"/>
        </w:rPr>
        <w:instrText>ADDIN CSL_CITATION {"citationItems":[{"id":"ITEM-1","itemData":{"DOI":"10.1080/14703297.2020.1777886","ISSN":"14703300","abstract":"Cooperative learning, using small groups to complete a common goal, has a positive effect on student achievement and potential in foundational engineering mechanics courses. The purpose of this study was to quantitatively examine the effects of cooperative learning on student performance, if these effects are concept-specific, and perceptions of learning within an introductory Dynamics course. Data were collected from one section of n = 55 students. Optional weekly cooperative sessions were offered in addition to in-class traditional lecture. Students who attended cooperative sessions earned 12.8% higher overall grade (p= 0.001) specifically attributable to rigid body kinematics (p= 0.002) and rigid body kinetics (p= 0.001), which is newer and more challenging material for students. Cooperative learning was associated with positive perceptions of learning, with 85–95% of students agreeing that it was helpful towards the understanding of material. Future work aims to incorporate group processing and adaptations for different class sizes.","author":[{"dropping-particle":"","family":"Arena","given":"Sara L.","non-dropping-particle":"","parse-names":false,"suffix":""},{"dropping-particle":"","family":"Davis","given":"Julian L.","non-dropping-particle":"","parse-names":false,"suffix":""}],"container-title":"Innovations in Education and Teaching International","id":"ITEM-1","issue":"4","issued":{"date-parts":[["2021"]]},"page":"387-397","publisher":"Routledge","title":"The concept-specific effects of cooperative learning in an introductory engineering mechanics dynamics course","type":"article-journal","volume":"58"},"uris":["http://www.mendeley.com/documents/?uuid=cd4cb8ff-e0ed-4ab4-87e5-7fe59912c9ac"]}],"mendeley":{"formattedCitation":"(Arena &amp; Davis, 2021)","plainTextFormattedCitation":"(Arena &amp; Davis, 2021)","previouslyFormattedCitation":"(Arena &amp; Davis, 2021)"},"properties":{"noteIndex":0},"schema":"https://github.com/citation-style-language/schema/raw/master/csl-citation.json"}</w:instrText>
      </w:r>
      <w:r w:rsidR="00597D22">
        <w:rPr>
          <w:rFonts w:ascii="Georgia" w:eastAsia="Times New Roman" w:hAnsi="Georgia" w:cs="Times New Roman"/>
          <w:lang w:val="en-US"/>
        </w:rPr>
        <w:fldChar w:fldCharType="separate"/>
      </w:r>
      <w:r w:rsidR="00597D22" w:rsidRPr="00597D22">
        <w:rPr>
          <w:rFonts w:ascii="Georgia" w:eastAsia="Times New Roman" w:hAnsi="Georgia" w:cs="Times New Roman"/>
          <w:noProof/>
          <w:lang w:val="en-US"/>
        </w:rPr>
        <w:t>(Arena &amp; Davis, 2021)</w:t>
      </w:r>
      <w:r w:rsidR="00597D22">
        <w:rPr>
          <w:rFonts w:ascii="Georgia" w:eastAsia="Times New Roman" w:hAnsi="Georgia" w:cs="Times New Roman"/>
          <w:lang w:val="en-US"/>
        </w:rPr>
        <w:fldChar w:fldCharType="end"/>
      </w:r>
      <w:r>
        <w:rPr>
          <w:rFonts w:ascii="Georgia" w:eastAsia="Times New Roman" w:hAnsi="Georgia" w:cs="Times New Roman"/>
          <w:lang w:val="en-US"/>
        </w:rPr>
        <w:t xml:space="preserve">. </w:t>
      </w:r>
      <w:r w:rsidR="00393069">
        <w:rPr>
          <w:rFonts w:ascii="Georgia" w:eastAsia="Times New Roman" w:hAnsi="Georgia" w:cs="Times New Roman"/>
          <w:lang w:val="en-US"/>
        </w:rPr>
        <w:t xml:space="preserve">Para ilmuan sepakat terhadap </w:t>
      </w:r>
      <w:proofErr w:type="gramStart"/>
      <w:r w:rsidR="00393069">
        <w:rPr>
          <w:rFonts w:ascii="Georgia" w:eastAsia="Times New Roman" w:hAnsi="Georgia" w:cs="Times New Roman"/>
          <w:lang w:val="en-US"/>
        </w:rPr>
        <w:t>lima</w:t>
      </w:r>
      <w:proofErr w:type="gramEnd"/>
      <w:r w:rsidR="00393069">
        <w:rPr>
          <w:rFonts w:ascii="Georgia" w:eastAsia="Times New Roman" w:hAnsi="Georgia" w:cs="Times New Roman"/>
          <w:lang w:val="en-US"/>
        </w:rPr>
        <w:t xml:space="preserve"> elemen yang dikembangak oleh Johnson &amp;</w:t>
      </w:r>
      <w:r w:rsidR="00393069" w:rsidRPr="00393069">
        <w:rPr>
          <w:rFonts w:ascii="Georgia" w:eastAsia="Times New Roman" w:hAnsi="Georgia" w:cs="Times New Roman"/>
          <w:lang w:val="en-US"/>
        </w:rPr>
        <w:t xml:space="preserve"> Johnson (1994)</w:t>
      </w:r>
      <w:r w:rsidR="001C673F">
        <w:rPr>
          <w:rFonts w:ascii="Georgia" w:eastAsia="Times New Roman" w:hAnsi="Georgia" w:cs="Times New Roman"/>
          <w:lang w:val="en-US"/>
        </w:rPr>
        <w:t>, seperti yang ditunjukkan pada Gambar 3</w:t>
      </w:r>
      <w:r w:rsidR="00393069">
        <w:rPr>
          <w:rFonts w:ascii="Georgia" w:eastAsia="Times New Roman" w:hAnsi="Georgia" w:cs="Times New Roman"/>
          <w:lang w:val="en-US"/>
        </w:rPr>
        <w:t>.</w:t>
      </w:r>
    </w:p>
    <w:p w14:paraId="1181A124" w14:textId="41321C6E" w:rsidR="00393069" w:rsidRDefault="00393069" w:rsidP="00393069">
      <w:pPr>
        <w:spacing w:after="0" w:line="240" w:lineRule="auto"/>
        <w:ind w:firstLine="567"/>
        <w:jc w:val="both"/>
        <w:rPr>
          <w:rFonts w:ascii="Georgia" w:eastAsia="Times New Roman" w:hAnsi="Georgia" w:cs="Times New Roman"/>
          <w:lang w:val="en-US"/>
        </w:rPr>
      </w:pPr>
    </w:p>
    <w:p w14:paraId="350F9E9F" w14:textId="4D432CC2" w:rsidR="00393069" w:rsidRPr="006D254A" w:rsidRDefault="00393069" w:rsidP="00393069">
      <w:pPr>
        <w:spacing w:after="0" w:line="240" w:lineRule="auto"/>
        <w:ind w:firstLine="567"/>
        <w:jc w:val="both"/>
        <w:rPr>
          <w:rFonts w:ascii="Georgia" w:eastAsia="Times New Roman" w:hAnsi="Georgia" w:cs="Times New Roman"/>
          <w:lang w:val="en-US"/>
        </w:rPr>
      </w:pPr>
      <w:r>
        <w:rPr>
          <w:rFonts w:ascii="Georgia" w:eastAsia="Times New Roman" w:hAnsi="Georgia" w:cs="Times New Roman"/>
          <w:noProof/>
          <w:lang w:val="en-US" w:eastAsia="en-US"/>
        </w:rPr>
        <w:drawing>
          <wp:anchor distT="0" distB="0" distL="114300" distR="114300" simplePos="0" relativeHeight="251672576" behindDoc="0" locked="0" layoutInCell="1" allowOverlap="1" wp14:anchorId="3C0C629D" wp14:editId="16D89445">
            <wp:simplePos x="0" y="0"/>
            <wp:positionH relativeFrom="column">
              <wp:posOffset>1170203</wp:posOffset>
            </wp:positionH>
            <wp:positionV relativeFrom="paragraph">
              <wp:posOffset>47625</wp:posOffset>
            </wp:positionV>
            <wp:extent cx="4110990" cy="2362200"/>
            <wp:effectExtent l="0" t="0" r="0" b="0"/>
            <wp:wrapNone/>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page">
              <wp14:pctWidth>0</wp14:pctWidth>
            </wp14:sizeRelH>
            <wp14:sizeRelV relativeFrom="page">
              <wp14:pctHeight>0</wp14:pctHeight>
            </wp14:sizeRelV>
          </wp:anchor>
        </w:drawing>
      </w:r>
    </w:p>
    <w:p w14:paraId="23D2EEF8" w14:textId="77777777" w:rsidR="00005BD6" w:rsidRDefault="00005BD6" w:rsidP="00242F1D">
      <w:pPr>
        <w:spacing w:after="0" w:line="240" w:lineRule="auto"/>
        <w:jc w:val="center"/>
        <w:rPr>
          <w:rFonts w:ascii="Georgia" w:eastAsia="Times New Roman" w:hAnsi="Georgia" w:cs="Times New Roman"/>
          <w:b/>
          <w:lang w:val="en-US"/>
        </w:rPr>
      </w:pPr>
    </w:p>
    <w:p w14:paraId="6E26578A" w14:textId="77777777" w:rsidR="00005BD6" w:rsidRDefault="00005BD6" w:rsidP="00242F1D">
      <w:pPr>
        <w:spacing w:after="0" w:line="240" w:lineRule="auto"/>
        <w:jc w:val="center"/>
        <w:rPr>
          <w:rFonts w:ascii="Georgia" w:eastAsia="Times New Roman" w:hAnsi="Georgia" w:cs="Times New Roman"/>
          <w:b/>
          <w:lang w:val="en-US"/>
        </w:rPr>
      </w:pPr>
    </w:p>
    <w:p w14:paraId="638D2E2F" w14:textId="77777777" w:rsidR="00393069" w:rsidRDefault="00393069" w:rsidP="00242F1D">
      <w:pPr>
        <w:spacing w:after="0" w:line="240" w:lineRule="auto"/>
        <w:jc w:val="center"/>
        <w:rPr>
          <w:rFonts w:ascii="Georgia" w:eastAsia="Times New Roman" w:hAnsi="Georgia" w:cs="Times New Roman"/>
          <w:b/>
          <w:lang w:val="en-US"/>
        </w:rPr>
      </w:pPr>
    </w:p>
    <w:p w14:paraId="3A31BC1B" w14:textId="77777777" w:rsidR="00393069" w:rsidRDefault="00393069" w:rsidP="00242F1D">
      <w:pPr>
        <w:spacing w:after="0" w:line="240" w:lineRule="auto"/>
        <w:jc w:val="center"/>
        <w:rPr>
          <w:rFonts w:ascii="Georgia" w:eastAsia="Times New Roman" w:hAnsi="Georgia" w:cs="Times New Roman"/>
          <w:b/>
          <w:lang w:val="en-US"/>
        </w:rPr>
      </w:pPr>
    </w:p>
    <w:p w14:paraId="210A3B64" w14:textId="77777777" w:rsidR="00393069" w:rsidRDefault="00393069" w:rsidP="00242F1D">
      <w:pPr>
        <w:spacing w:after="0" w:line="240" w:lineRule="auto"/>
        <w:jc w:val="center"/>
        <w:rPr>
          <w:rFonts w:ascii="Georgia" w:eastAsia="Times New Roman" w:hAnsi="Georgia" w:cs="Times New Roman"/>
          <w:b/>
          <w:lang w:val="en-US"/>
        </w:rPr>
      </w:pPr>
    </w:p>
    <w:p w14:paraId="20952E2B" w14:textId="77777777" w:rsidR="00393069" w:rsidRDefault="00393069" w:rsidP="00242F1D">
      <w:pPr>
        <w:spacing w:after="0" w:line="240" w:lineRule="auto"/>
        <w:jc w:val="center"/>
        <w:rPr>
          <w:rFonts w:ascii="Georgia" w:eastAsia="Times New Roman" w:hAnsi="Georgia" w:cs="Times New Roman"/>
          <w:b/>
          <w:lang w:val="en-US"/>
        </w:rPr>
      </w:pPr>
    </w:p>
    <w:p w14:paraId="1618DC00" w14:textId="77777777" w:rsidR="00393069" w:rsidRDefault="00393069" w:rsidP="00242F1D">
      <w:pPr>
        <w:spacing w:after="0" w:line="240" w:lineRule="auto"/>
        <w:jc w:val="center"/>
        <w:rPr>
          <w:rFonts w:ascii="Georgia" w:eastAsia="Times New Roman" w:hAnsi="Georgia" w:cs="Times New Roman"/>
          <w:b/>
          <w:lang w:val="en-US"/>
        </w:rPr>
      </w:pPr>
    </w:p>
    <w:p w14:paraId="52BC9E33" w14:textId="77777777" w:rsidR="00393069" w:rsidRDefault="00393069" w:rsidP="00242F1D">
      <w:pPr>
        <w:spacing w:after="0" w:line="240" w:lineRule="auto"/>
        <w:jc w:val="center"/>
        <w:rPr>
          <w:rFonts w:ascii="Georgia" w:eastAsia="Times New Roman" w:hAnsi="Georgia" w:cs="Times New Roman"/>
          <w:b/>
          <w:lang w:val="en-US"/>
        </w:rPr>
      </w:pPr>
    </w:p>
    <w:p w14:paraId="290DFF31" w14:textId="77777777" w:rsidR="00393069" w:rsidRDefault="00393069" w:rsidP="00242F1D">
      <w:pPr>
        <w:spacing w:after="0" w:line="240" w:lineRule="auto"/>
        <w:jc w:val="center"/>
        <w:rPr>
          <w:rFonts w:ascii="Georgia" w:eastAsia="Times New Roman" w:hAnsi="Georgia" w:cs="Times New Roman"/>
          <w:b/>
          <w:lang w:val="en-US"/>
        </w:rPr>
      </w:pPr>
    </w:p>
    <w:p w14:paraId="1903CD86" w14:textId="77777777" w:rsidR="00393069" w:rsidRDefault="00393069" w:rsidP="00242F1D">
      <w:pPr>
        <w:spacing w:after="0" w:line="240" w:lineRule="auto"/>
        <w:jc w:val="center"/>
        <w:rPr>
          <w:rFonts w:ascii="Georgia" w:eastAsia="Times New Roman" w:hAnsi="Georgia" w:cs="Times New Roman"/>
          <w:b/>
          <w:lang w:val="en-US"/>
        </w:rPr>
      </w:pPr>
    </w:p>
    <w:p w14:paraId="41F05589" w14:textId="77777777" w:rsidR="00393069" w:rsidRDefault="00393069" w:rsidP="00242F1D">
      <w:pPr>
        <w:spacing w:after="0" w:line="240" w:lineRule="auto"/>
        <w:jc w:val="center"/>
        <w:rPr>
          <w:rFonts w:ascii="Georgia" w:eastAsia="Times New Roman" w:hAnsi="Georgia" w:cs="Times New Roman"/>
          <w:b/>
          <w:lang w:val="en-US"/>
        </w:rPr>
      </w:pPr>
    </w:p>
    <w:p w14:paraId="3C0E4A07" w14:textId="77777777" w:rsidR="00393069" w:rsidRDefault="00393069" w:rsidP="00242F1D">
      <w:pPr>
        <w:spacing w:after="0" w:line="240" w:lineRule="auto"/>
        <w:jc w:val="center"/>
        <w:rPr>
          <w:rFonts w:ascii="Georgia" w:eastAsia="Times New Roman" w:hAnsi="Georgia" w:cs="Times New Roman"/>
          <w:b/>
          <w:lang w:val="en-US"/>
        </w:rPr>
      </w:pPr>
    </w:p>
    <w:p w14:paraId="0B3ABF8B" w14:textId="77777777" w:rsidR="00393069" w:rsidRDefault="00393069" w:rsidP="00242F1D">
      <w:pPr>
        <w:spacing w:after="0" w:line="240" w:lineRule="auto"/>
        <w:jc w:val="center"/>
        <w:rPr>
          <w:rFonts w:ascii="Georgia" w:eastAsia="Times New Roman" w:hAnsi="Georgia" w:cs="Times New Roman"/>
          <w:b/>
          <w:lang w:val="en-US"/>
        </w:rPr>
      </w:pPr>
    </w:p>
    <w:p w14:paraId="67D2F888" w14:textId="77777777" w:rsidR="00393069" w:rsidRDefault="00393069" w:rsidP="00242F1D">
      <w:pPr>
        <w:spacing w:after="0" w:line="240" w:lineRule="auto"/>
        <w:jc w:val="center"/>
        <w:rPr>
          <w:rFonts w:ascii="Georgia" w:eastAsia="Times New Roman" w:hAnsi="Georgia" w:cs="Times New Roman"/>
          <w:b/>
          <w:lang w:val="en-US"/>
        </w:rPr>
      </w:pPr>
    </w:p>
    <w:p w14:paraId="4FF932DB" w14:textId="77777777" w:rsidR="00005BD6" w:rsidRDefault="00005BD6" w:rsidP="005A1346">
      <w:pPr>
        <w:spacing w:after="0" w:line="240" w:lineRule="auto"/>
        <w:rPr>
          <w:rFonts w:ascii="Georgia" w:eastAsia="Times New Roman" w:hAnsi="Georgia" w:cs="Times New Roman"/>
          <w:b/>
          <w:lang w:val="en-US"/>
        </w:rPr>
      </w:pPr>
    </w:p>
    <w:p w14:paraId="329A32E1" w14:textId="7EBEAACA" w:rsidR="001C673F" w:rsidRDefault="00D478C5" w:rsidP="00242F1D">
      <w:pPr>
        <w:spacing w:after="0" w:line="240" w:lineRule="auto"/>
        <w:jc w:val="center"/>
        <w:rPr>
          <w:rFonts w:ascii="Georgia" w:eastAsia="Times New Roman" w:hAnsi="Georgia" w:cs="Times New Roman"/>
          <w:b/>
          <w:lang w:val="en-US"/>
        </w:rPr>
      </w:pPr>
      <w:proofErr w:type="gramStart"/>
      <w:r>
        <w:rPr>
          <w:rFonts w:ascii="Georgia" w:eastAsia="Times New Roman" w:hAnsi="Georgia" w:cs="Times New Roman"/>
          <w:b/>
          <w:lang w:val="en-US"/>
        </w:rPr>
        <w:t>Gambar 3.</w:t>
      </w:r>
      <w:proofErr w:type="gramEnd"/>
      <w:r>
        <w:rPr>
          <w:rFonts w:ascii="Georgia" w:eastAsia="Times New Roman" w:hAnsi="Georgia" w:cs="Times New Roman"/>
          <w:b/>
          <w:lang w:val="en-US"/>
        </w:rPr>
        <w:t xml:space="preserve"> Lima K</w:t>
      </w:r>
      <w:r w:rsidRPr="00D478C5">
        <w:rPr>
          <w:rFonts w:ascii="Georgia" w:eastAsia="Times New Roman" w:hAnsi="Georgia" w:cs="Times New Roman"/>
          <w:b/>
          <w:lang w:val="en-US"/>
        </w:rPr>
        <w:t>ompone</w:t>
      </w:r>
      <w:r>
        <w:rPr>
          <w:rFonts w:ascii="Georgia" w:eastAsia="Times New Roman" w:hAnsi="Georgia" w:cs="Times New Roman"/>
          <w:b/>
          <w:lang w:val="en-US"/>
        </w:rPr>
        <w:t>n dasar pembelajaran kooperatif</w:t>
      </w:r>
    </w:p>
    <w:p w14:paraId="609EAADE" w14:textId="77777777" w:rsidR="001C673F" w:rsidRDefault="001C673F" w:rsidP="00242F1D">
      <w:pPr>
        <w:spacing w:after="0" w:line="240" w:lineRule="auto"/>
        <w:jc w:val="center"/>
        <w:rPr>
          <w:rFonts w:ascii="Georgia" w:eastAsia="Times New Roman" w:hAnsi="Georgia" w:cs="Times New Roman"/>
          <w:b/>
          <w:lang w:val="en-US"/>
        </w:rPr>
      </w:pPr>
    </w:p>
    <w:p w14:paraId="420DEB47" w14:textId="022CC005" w:rsidR="001C673F" w:rsidRPr="00D478C5" w:rsidRDefault="00D478C5" w:rsidP="004A2253">
      <w:pPr>
        <w:spacing w:after="0" w:line="240" w:lineRule="auto"/>
        <w:ind w:firstLine="567"/>
        <w:jc w:val="both"/>
        <w:rPr>
          <w:rFonts w:ascii="Georgia" w:eastAsia="Times New Roman" w:hAnsi="Georgia" w:cs="Times New Roman"/>
          <w:lang w:val="en-US"/>
        </w:rPr>
      </w:pPr>
      <w:r w:rsidRPr="00D478C5">
        <w:rPr>
          <w:rFonts w:ascii="Georgia" w:eastAsia="Times New Roman" w:hAnsi="Georgia" w:cs="Times New Roman"/>
          <w:lang w:val="en-US"/>
        </w:rPr>
        <w:lastRenderedPageBreak/>
        <w:t xml:space="preserve">Guru </w:t>
      </w:r>
      <w:proofErr w:type="gramStart"/>
      <w:r w:rsidRPr="00D478C5">
        <w:rPr>
          <w:rFonts w:ascii="Georgia" w:eastAsia="Times New Roman" w:hAnsi="Georgia" w:cs="Times New Roman"/>
          <w:lang w:val="en-US"/>
        </w:rPr>
        <w:t>perlu</w:t>
      </w:r>
      <w:proofErr w:type="gramEnd"/>
      <w:r w:rsidRPr="00D478C5">
        <w:rPr>
          <w:rFonts w:ascii="Georgia" w:eastAsia="Times New Roman" w:hAnsi="Georgia" w:cs="Times New Roman"/>
          <w:lang w:val="en-US"/>
        </w:rPr>
        <w:t xml:space="preserve"> menerapkan metode dan strategi </w:t>
      </w:r>
      <w:r>
        <w:rPr>
          <w:rFonts w:ascii="Georgia" w:eastAsia="Times New Roman" w:hAnsi="Georgia" w:cs="Times New Roman"/>
          <w:lang w:val="en-US"/>
        </w:rPr>
        <w:t xml:space="preserve">yang berpusat pada peserta didik. Metode kooperatif </w:t>
      </w:r>
      <w:r w:rsidRPr="00D478C5">
        <w:rPr>
          <w:rFonts w:ascii="Georgia" w:eastAsia="Times New Roman" w:hAnsi="Georgia" w:cs="Times New Roman"/>
          <w:lang w:val="en-US"/>
        </w:rPr>
        <w:t xml:space="preserve">berfungsi sebagai </w:t>
      </w:r>
      <w:proofErr w:type="gramStart"/>
      <w:r w:rsidRPr="00D478C5">
        <w:rPr>
          <w:rFonts w:ascii="Georgia" w:eastAsia="Times New Roman" w:hAnsi="Georgia" w:cs="Times New Roman"/>
          <w:lang w:val="en-US"/>
        </w:rPr>
        <w:t>cara</w:t>
      </w:r>
      <w:proofErr w:type="gramEnd"/>
      <w:r w:rsidRPr="00D478C5">
        <w:rPr>
          <w:rFonts w:ascii="Georgia" w:eastAsia="Times New Roman" w:hAnsi="Georgia" w:cs="Times New Roman"/>
          <w:lang w:val="en-US"/>
        </w:rPr>
        <w:t xml:space="preserve"> alternatif pengajaran untuk mem</w:t>
      </w:r>
      <w:r>
        <w:rPr>
          <w:rFonts w:ascii="Georgia" w:eastAsia="Times New Roman" w:hAnsi="Georgia" w:cs="Times New Roman"/>
          <w:lang w:val="en-US"/>
        </w:rPr>
        <w:t xml:space="preserve">promosikan berbicara dan social </w:t>
      </w:r>
      <w:r w:rsidRPr="00D478C5">
        <w:rPr>
          <w:rFonts w:ascii="Georgia" w:eastAsia="Times New Roman" w:hAnsi="Georgia" w:cs="Times New Roman"/>
          <w:lang w:val="en-US"/>
        </w:rPr>
        <w:t>interaksi antar siswa (Ning, 2011).</w:t>
      </w:r>
      <w:r w:rsidR="004A2253">
        <w:rPr>
          <w:rFonts w:ascii="Georgia" w:eastAsia="Times New Roman" w:hAnsi="Georgia" w:cs="Times New Roman"/>
          <w:lang w:val="en-US"/>
        </w:rPr>
        <w:t xml:space="preserve"> </w:t>
      </w:r>
      <w:r w:rsidR="00DE1954">
        <w:rPr>
          <w:rFonts w:ascii="Georgia" w:eastAsia="Times New Roman" w:hAnsi="Georgia" w:cs="Times New Roman"/>
          <w:lang w:val="en-US"/>
        </w:rPr>
        <w:t xml:space="preserve">Pembelajaran </w:t>
      </w:r>
      <w:proofErr w:type="gramStart"/>
      <w:r w:rsidR="00DE1954">
        <w:rPr>
          <w:rFonts w:ascii="Georgia" w:eastAsia="Times New Roman" w:hAnsi="Georgia" w:cs="Times New Roman"/>
          <w:lang w:val="en-US"/>
        </w:rPr>
        <w:t xml:space="preserve">kooperatif </w:t>
      </w:r>
      <w:r w:rsidR="004A2253" w:rsidRPr="004A2253">
        <w:rPr>
          <w:rFonts w:ascii="Georgia" w:eastAsia="Times New Roman" w:hAnsi="Georgia" w:cs="Times New Roman"/>
          <w:lang w:val="en-US"/>
        </w:rPr>
        <w:t xml:space="preserve"> digambarkan</w:t>
      </w:r>
      <w:proofErr w:type="gramEnd"/>
      <w:r w:rsidR="004A2253" w:rsidRPr="004A2253">
        <w:rPr>
          <w:rFonts w:ascii="Georgia" w:eastAsia="Times New Roman" w:hAnsi="Georgia" w:cs="Times New Roman"/>
          <w:lang w:val="en-US"/>
        </w:rPr>
        <w:t xml:space="preserve"> sebagai </w:t>
      </w:r>
      <w:r w:rsidR="00DE1954">
        <w:rPr>
          <w:rFonts w:ascii="Georgia" w:eastAsia="Times New Roman" w:hAnsi="Georgia" w:cs="Times New Roman"/>
          <w:lang w:val="en-US"/>
        </w:rPr>
        <w:t>kegatan</w:t>
      </w:r>
      <w:r w:rsidR="004A2253" w:rsidRPr="004A2253">
        <w:rPr>
          <w:rFonts w:ascii="Georgia" w:eastAsia="Times New Roman" w:hAnsi="Georgia" w:cs="Times New Roman"/>
          <w:lang w:val="en-US"/>
        </w:rPr>
        <w:t xml:space="preserve"> pedagogis yang memungkinkan interaksi sosia</w:t>
      </w:r>
      <w:r w:rsidR="004A2253">
        <w:rPr>
          <w:rFonts w:ascii="Georgia" w:eastAsia="Times New Roman" w:hAnsi="Georgia" w:cs="Times New Roman"/>
          <w:lang w:val="en-US"/>
        </w:rPr>
        <w:t xml:space="preserve">l yang positif, dan menghormati </w:t>
      </w:r>
      <w:r w:rsidR="004A2253" w:rsidRPr="004A2253">
        <w:rPr>
          <w:rFonts w:ascii="Georgia" w:eastAsia="Times New Roman" w:hAnsi="Georgia" w:cs="Times New Roman"/>
          <w:lang w:val="en-US"/>
        </w:rPr>
        <w:t>keragaman dan kebutuhan individu dan pola belajar siswa</w:t>
      </w:r>
      <w:r w:rsidR="004A2253">
        <w:rPr>
          <w:rFonts w:ascii="Georgia" w:eastAsia="Times New Roman" w:hAnsi="Georgia" w:cs="Times New Roman"/>
          <w:lang w:val="en-US"/>
        </w:rPr>
        <w:t xml:space="preserve">. </w:t>
      </w:r>
      <w:r w:rsidR="004A2253" w:rsidRPr="004A2253">
        <w:rPr>
          <w:rFonts w:ascii="Georgia" w:eastAsia="Times New Roman" w:hAnsi="Georgia" w:cs="Times New Roman"/>
          <w:lang w:val="en-US"/>
        </w:rPr>
        <w:t xml:space="preserve">Siswa </w:t>
      </w:r>
      <w:r w:rsidR="00B61CA0">
        <w:rPr>
          <w:rFonts w:ascii="Georgia" w:eastAsia="Times New Roman" w:hAnsi="Georgia" w:cs="Times New Roman"/>
          <w:lang w:val="en-US"/>
        </w:rPr>
        <w:t xml:space="preserve">bekerja </w:t>
      </w:r>
      <w:proofErr w:type="gramStart"/>
      <w:r w:rsidR="00B61CA0">
        <w:rPr>
          <w:rFonts w:ascii="Georgia" w:eastAsia="Times New Roman" w:hAnsi="Georgia" w:cs="Times New Roman"/>
          <w:lang w:val="en-US"/>
        </w:rPr>
        <w:t>sama</w:t>
      </w:r>
      <w:proofErr w:type="gramEnd"/>
      <w:r w:rsidR="00B61CA0">
        <w:rPr>
          <w:rFonts w:ascii="Georgia" w:eastAsia="Times New Roman" w:hAnsi="Georgia" w:cs="Times New Roman"/>
          <w:lang w:val="en-US"/>
        </w:rPr>
        <w:t xml:space="preserve"> dalam kelompok bermain dengan</w:t>
      </w:r>
      <w:r w:rsidR="004A2253" w:rsidRPr="004A2253">
        <w:rPr>
          <w:rFonts w:ascii="Georgia" w:eastAsia="Times New Roman" w:hAnsi="Georgia" w:cs="Times New Roman"/>
          <w:lang w:val="en-US"/>
        </w:rPr>
        <w:t xml:space="preserve"> kemampuan campuran untuk memaksimalkan pembelajaran mereka </w:t>
      </w:r>
      <w:r w:rsidR="00B61CA0">
        <w:rPr>
          <w:rFonts w:ascii="Georgia" w:eastAsia="Times New Roman" w:hAnsi="Georgia" w:cs="Times New Roman"/>
          <w:lang w:val="en-US"/>
        </w:rPr>
        <w:t xml:space="preserve">untuk mengahasilkan </w:t>
      </w:r>
      <w:r w:rsidR="004A2253" w:rsidRPr="004A2253">
        <w:rPr>
          <w:rFonts w:ascii="Georgia" w:eastAsia="Times New Roman" w:hAnsi="Georgia" w:cs="Times New Roman"/>
          <w:lang w:val="en-US"/>
        </w:rPr>
        <w:t>tujuan bersama</w:t>
      </w:r>
      <w:r w:rsidR="00DE1954">
        <w:rPr>
          <w:rFonts w:ascii="Georgia" w:eastAsia="Times New Roman" w:hAnsi="Georgia" w:cs="Times New Roman"/>
          <w:lang w:val="en-US"/>
        </w:rPr>
        <w:t>. Dengan pembelajaran kooperatif</w:t>
      </w:r>
      <w:r w:rsidR="004A2253">
        <w:rPr>
          <w:rFonts w:ascii="Georgia" w:eastAsia="Times New Roman" w:hAnsi="Georgia" w:cs="Times New Roman"/>
          <w:lang w:val="en-US"/>
        </w:rPr>
        <w:t xml:space="preserve"> </w:t>
      </w:r>
      <w:r w:rsidR="00DE1954">
        <w:rPr>
          <w:rFonts w:ascii="Georgia" w:eastAsia="Times New Roman" w:hAnsi="Georgia" w:cs="Times New Roman"/>
          <w:lang w:val="en-US"/>
        </w:rPr>
        <w:t>siswa</w:t>
      </w:r>
      <w:r w:rsidR="004A2253">
        <w:rPr>
          <w:rFonts w:ascii="Georgia" w:eastAsia="Times New Roman" w:hAnsi="Georgia" w:cs="Times New Roman"/>
          <w:lang w:val="en-US"/>
        </w:rPr>
        <w:t xml:space="preserve"> </w:t>
      </w:r>
      <w:r w:rsidR="00DE1954">
        <w:rPr>
          <w:rFonts w:ascii="Georgia" w:eastAsia="Times New Roman" w:hAnsi="Georgia" w:cs="Times New Roman"/>
          <w:lang w:val="en-US"/>
        </w:rPr>
        <w:t>dapat</w:t>
      </w:r>
      <w:r w:rsidR="004A2253">
        <w:rPr>
          <w:rFonts w:ascii="Georgia" w:eastAsia="Times New Roman" w:hAnsi="Georgia" w:cs="Times New Roman"/>
          <w:lang w:val="en-US"/>
        </w:rPr>
        <w:t xml:space="preserve"> berakting </w:t>
      </w:r>
      <w:r w:rsidR="004A2253" w:rsidRPr="004A2253">
        <w:rPr>
          <w:rFonts w:ascii="Georgia" w:eastAsia="Times New Roman" w:hAnsi="Georgia" w:cs="Times New Roman"/>
          <w:lang w:val="en-US"/>
        </w:rPr>
        <w:t xml:space="preserve">sebagai </w:t>
      </w:r>
      <w:r w:rsidR="00DE1954">
        <w:rPr>
          <w:rFonts w:ascii="Georgia" w:eastAsia="Times New Roman" w:hAnsi="Georgia" w:cs="Times New Roman"/>
          <w:lang w:val="en-US"/>
        </w:rPr>
        <w:t xml:space="preserve">pembicara dalam pembelajaran melalui dialog berupa </w:t>
      </w:r>
      <w:r w:rsidR="004A2253" w:rsidRPr="004A2253">
        <w:rPr>
          <w:rFonts w:ascii="Georgia" w:eastAsia="Times New Roman" w:hAnsi="Georgia" w:cs="Times New Roman"/>
          <w:lang w:val="en-US"/>
        </w:rPr>
        <w:t>mengungkapkan pendapat, sudut</w:t>
      </w:r>
      <w:r w:rsidR="00DE1954">
        <w:rPr>
          <w:rFonts w:ascii="Georgia" w:eastAsia="Times New Roman" w:hAnsi="Georgia" w:cs="Times New Roman"/>
          <w:lang w:val="en-US"/>
        </w:rPr>
        <w:t xml:space="preserve"> pandang, menawarkan hipotesis </w:t>
      </w:r>
      <w:r w:rsidR="004A2253" w:rsidRPr="004A2253">
        <w:rPr>
          <w:rFonts w:ascii="Georgia" w:eastAsia="Times New Roman" w:hAnsi="Georgia" w:cs="Times New Roman"/>
          <w:lang w:val="en-US"/>
        </w:rPr>
        <w:t>dan memberikan masukan ke dalam tugas</w:t>
      </w:r>
      <w:r w:rsidR="00DE1954">
        <w:rPr>
          <w:rFonts w:ascii="Georgia" w:eastAsia="Times New Roman" w:hAnsi="Georgia" w:cs="Times New Roman"/>
          <w:lang w:val="en-US"/>
        </w:rPr>
        <w:t xml:space="preserve"> diberikan guru</w:t>
      </w:r>
      <w:r w:rsidR="004A2253" w:rsidRPr="004A2253">
        <w:rPr>
          <w:rFonts w:ascii="Georgia" w:eastAsia="Times New Roman" w:hAnsi="Georgia" w:cs="Times New Roman"/>
          <w:lang w:val="en-US"/>
        </w:rPr>
        <w:t xml:space="preserve">. </w:t>
      </w:r>
      <w:proofErr w:type="gramStart"/>
      <w:r w:rsidR="00DE1954">
        <w:rPr>
          <w:rFonts w:ascii="Georgia" w:eastAsia="Times New Roman" w:hAnsi="Georgia" w:cs="Times New Roman"/>
          <w:lang w:val="en-US"/>
        </w:rPr>
        <w:t>Pembelajaran kooperatif, siswa mengembangkan</w:t>
      </w:r>
      <w:r w:rsidR="004A2253" w:rsidRPr="004A2253">
        <w:rPr>
          <w:rFonts w:ascii="Georgia" w:eastAsia="Times New Roman" w:hAnsi="Georgia" w:cs="Times New Roman"/>
          <w:lang w:val="en-US"/>
        </w:rPr>
        <w:t xml:space="preserve"> sikap positif terhadap tugas dan hubungan interpersonal, dan cenderung meningkatkan keterampilan komunikasi</w:t>
      </w:r>
      <w:r w:rsidR="004A2253">
        <w:rPr>
          <w:rFonts w:ascii="Georgia" w:eastAsia="Times New Roman" w:hAnsi="Georgia" w:cs="Times New Roman"/>
          <w:lang w:val="en-US"/>
        </w:rPr>
        <w:t>.</w:t>
      </w:r>
      <w:proofErr w:type="gramEnd"/>
      <w:r w:rsidR="004A2253">
        <w:rPr>
          <w:rFonts w:ascii="Georgia" w:eastAsia="Times New Roman" w:hAnsi="Georgia" w:cs="Times New Roman"/>
          <w:lang w:val="en-US"/>
        </w:rPr>
        <w:t xml:space="preserve"> </w:t>
      </w:r>
      <w:proofErr w:type="gramStart"/>
      <w:r w:rsidR="00DE1954">
        <w:rPr>
          <w:rFonts w:ascii="Georgia" w:eastAsia="Times New Roman" w:hAnsi="Georgia" w:cs="Times New Roman"/>
          <w:lang w:val="en-US"/>
        </w:rPr>
        <w:t>i</w:t>
      </w:r>
      <w:r w:rsidR="004A2253" w:rsidRPr="004A2253">
        <w:rPr>
          <w:rFonts w:ascii="Georgia" w:eastAsia="Times New Roman" w:hAnsi="Georgia" w:cs="Times New Roman"/>
          <w:lang w:val="en-US"/>
        </w:rPr>
        <w:t>teraksi</w:t>
      </w:r>
      <w:proofErr w:type="gramEnd"/>
      <w:r w:rsidR="004A2253" w:rsidRPr="004A2253">
        <w:rPr>
          <w:rFonts w:ascii="Georgia" w:eastAsia="Times New Roman" w:hAnsi="Georgia" w:cs="Times New Roman"/>
          <w:lang w:val="en-US"/>
        </w:rPr>
        <w:t xml:space="preserve"> </w:t>
      </w:r>
      <w:r w:rsidR="00DE1954">
        <w:rPr>
          <w:rFonts w:ascii="Georgia" w:eastAsia="Times New Roman" w:hAnsi="Georgia" w:cs="Times New Roman"/>
          <w:lang w:val="en-US"/>
        </w:rPr>
        <w:t xml:space="preserve">yang </w:t>
      </w:r>
      <w:r w:rsidR="004A2253" w:rsidRPr="004A2253">
        <w:rPr>
          <w:rFonts w:ascii="Georgia" w:eastAsia="Times New Roman" w:hAnsi="Georgia" w:cs="Times New Roman"/>
          <w:lang w:val="en-US"/>
        </w:rPr>
        <w:t>implisit dalam pekerjaan terstruktur</w:t>
      </w:r>
      <w:r w:rsidR="00DE1954">
        <w:rPr>
          <w:rFonts w:ascii="Georgia" w:eastAsia="Times New Roman" w:hAnsi="Georgia" w:cs="Times New Roman"/>
          <w:lang w:val="en-US"/>
        </w:rPr>
        <w:t>.</w:t>
      </w:r>
      <w:r w:rsidR="004A2253" w:rsidRPr="004A2253">
        <w:rPr>
          <w:rFonts w:ascii="Georgia" w:eastAsia="Times New Roman" w:hAnsi="Georgia" w:cs="Times New Roman"/>
          <w:lang w:val="en-US"/>
        </w:rPr>
        <w:t xml:space="preserve"> </w:t>
      </w:r>
      <w:r w:rsidR="00DE1954">
        <w:rPr>
          <w:rFonts w:ascii="Georgia" w:eastAsia="Times New Roman" w:hAnsi="Georgia" w:cs="Times New Roman"/>
          <w:lang w:val="en-US"/>
        </w:rPr>
        <w:t xml:space="preserve">Tujuan ini dapat </w:t>
      </w:r>
      <w:r w:rsidR="004A2253">
        <w:rPr>
          <w:rFonts w:ascii="Georgia" w:eastAsia="Times New Roman" w:hAnsi="Georgia" w:cs="Times New Roman"/>
          <w:lang w:val="en-US"/>
        </w:rPr>
        <w:t xml:space="preserve">meningkatkan </w:t>
      </w:r>
      <w:r w:rsidR="004A2253" w:rsidRPr="004A2253">
        <w:rPr>
          <w:rFonts w:ascii="Georgia" w:eastAsia="Times New Roman" w:hAnsi="Georgia" w:cs="Times New Roman"/>
          <w:lang w:val="en-US"/>
        </w:rPr>
        <w:t xml:space="preserve">motivasi pada anak-anak </w:t>
      </w:r>
      <w:r w:rsidR="00DE1954">
        <w:rPr>
          <w:rFonts w:ascii="Georgia" w:eastAsia="Times New Roman" w:hAnsi="Georgia" w:cs="Times New Roman"/>
          <w:lang w:val="en-US"/>
        </w:rPr>
        <w:t>dengan akademik</w:t>
      </w:r>
      <w:r w:rsidR="004A2253" w:rsidRPr="004A2253">
        <w:rPr>
          <w:rFonts w:ascii="Georgia" w:eastAsia="Times New Roman" w:hAnsi="Georgia" w:cs="Times New Roman"/>
          <w:lang w:val="en-US"/>
        </w:rPr>
        <w:t xml:space="preserve"> rendah, mempromosikan keterampilan </w:t>
      </w:r>
      <w:r w:rsidR="00DE1954">
        <w:rPr>
          <w:rFonts w:ascii="Georgia" w:eastAsia="Times New Roman" w:hAnsi="Georgia" w:cs="Times New Roman"/>
          <w:lang w:val="en-US"/>
        </w:rPr>
        <w:t>menganalisis dan</w:t>
      </w:r>
      <w:r w:rsidR="004A2253">
        <w:rPr>
          <w:rFonts w:ascii="Georgia" w:eastAsia="Times New Roman" w:hAnsi="Georgia" w:cs="Times New Roman"/>
          <w:lang w:val="en-US"/>
        </w:rPr>
        <w:t xml:space="preserve"> </w:t>
      </w:r>
      <w:r w:rsidR="004A2253" w:rsidRPr="004A2253">
        <w:rPr>
          <w:rFonts w:ascii="Georgia" w:eastAsia="Times New Roman" w:hAnsi="Georgia" w:cs="Times New Roman"/>
          <w:lang w:val="en-US"/>
        </w:rPr>
        <w:t>mengembangkan</w:t>
      </w:r>
      <w:r w:rsidR="004A2253">
        <w:rPr>
          <w:rFonts w:ascii="Georgia" w:eastAsia="Times New Roman" w:hAnsi="Georgia" w:cs="Times New Roman"/>
          <w:lang w:val="en-US"/>
        </w:rPr>
        <w:t xml:space="preserve"> keterampilan lain yang terkait </w:t>
      </w:r>
      <w:r w:rsidR="004A2253" w:rsidRPr="004A2253">
        <w:rPr>
          <w:rFonts w:ascii="Georgia" w:eastAsia="Times New Roman" w:hAnsi="Georgia" w:cs="Times New Roman"/>
          <w:lang w:val="en-US"/>
        </w:rPr>
        <w:t>untuk penalaran dan konseptualisasi</w:t>
      </w:r>
      <w:r w:rsidR="00DE1954">
        <w:rPr>
          <w:rFonts w:ascii="Georgia" w:eastAsia="Times New Roman" w:hAnsi="Georgia" w:cs="Times New Roman"/>
          <w:lang w:val="en-US"/>
        </w:rPr>
        <w:t>.</w:t>
      </w:r>
    </w:p>
    <w:p w14:paraId="73AB0E40" w14:textId="77777777" w:rsidR="00D478C5" w:rsidRPr="00D478C5" w:rsidRDefault="00D478C5" w:rsidP="00D478C5">
      <w:pPr>
        <w:spacing w:after="0" w:line="240" w:lineRule="auto"/>
        <w:jc w:val="both"/>
        <w:rPr>
          <w:rFonts w:ascii="Georgia" w:eastAsia="Times New Roman" w:hAnsi="Georgia" w:cs="Times New Roman"/>
          <w:lang w:val="en-US"/>
        </w:rPr>
      </w:pPr>
    </w:p>
    <w:p w14:paraId="044EABA8" w14:textId="77777777" w:rsidR="00D478C5" w:rsidRPr="00D478C5" w:rsidRDefault="00D478C5" w:rsidP="00D478C5">
      <w:pPr>
        <w:spacing w:after="0" w:line="240" w:lineRule="auto"/>
        <w:jc w:val="both"/>
        <w:rPr>
          <w:rFonts w:ascii="Georgia" w:eastAsia="Times New Roman" w:hAnsi="Georgia" w:cs="Times New Roman"/>
          <w:lang w:val="en-US"/>
        </w:rPr>
      </w:pPr>
    </w:p>
    <w:p w14:paraId="7DCC7008" w14:textId="67E44737" w:rsidR="00393069" w:rsidRDefault="00D44197" w:rsidP="00D44197">
      <w:pPr>
        <w:spacing w:after="0" w:line="360" w:lineRule="auto"/>
        <w:jc w:val="both"/>
        <w:rPr>
          <w:rFonts w:ascii="Georgia" w:eastAsia="Arial" w:hAnsi="Georgia" w:cs="Times New Roman"/>
          <w:b/>
          <w:lang w:val="en-US"/>
        </w:rPr>
      </w:pPr>
      <w:r>
        <w:rPr>
          <w:rFonts w:ascii="Georgia" w:eastAsia="Arial" w:hAnsi="Georgia" w:cs="Times New Roman"/>
          <w:b/>
          <w:lang w:val="en-US"/>
        </w:rPr>
        <w:t>SIMPULAN</w:t>
      </w:r>
      <w:r w:rsidR="00F70FF8" w:rsidRPr="00723B12">
        <w:rPr>
          <w:rFonts w:ascii="Georgia" w:eastAsia="Arial" w:hAnsi="Georgia" w:cs="Times New Roman"/>
          <w:b/>
        </w:rPr>
        <w:t xml:space="preserve"> </w:t>
      </w:r>
    </w:p>
    <w:p w14:paraId="26F2D5D9" w14:textId="30FF5B16" w:rsidR="00393069" w:rsidRPr="008C02A7" w:rsidRDefault="00800DD9" w:rsidP="00E607F9">
      <w:pPr>
        <w:spacing w:after="0" w:line="240" w:lineRule="auto"/>
        <w:ind w:firstLine="284"/>
        <w:jc w:val="both"/>
        <w:rPr>
          <w:rFonts w:ascii="Georgia" w:hAnsi="Georgia"/>
          <w:lang w:val="en-US"/>
        </w:rPr>
      </w:pPr>
      <w:r>
        <w:rPr>
          <w:rFonts w:ascii="Georgia" w:hAnsi="Georgia"/>
        </w:rPr>
        <w:t xml:space="preserve">Berdasarkan hasil </w:t>
      </w:r>
      <w:r>
        <w:rPr>
          <w:rFonts w:ascii="Georgia" w:hAnsi="Georgia"/>
          <w:lang w:val="en-US"/>
        </w:rPr>
        <w:t xml:space="preserve">temuan </w:t>
      </w:r>
      <w:r w:rsidR="000B4327" w:rsidRPr="000B4327">
        <w:rPr>
          <w:rFonts w:ascii="Georgia" w:hAnsi="Georgia"/>
        </w:rPr>
        <w:t xml:space="preserve">dapat disimpulkan bahwa </w:t>
      </w:r>
      <w:r w:rsidR="00E607F9">
        <w:rPr>
          <w:rFonts w:ascii="Georgia" w:hAnsi="Georgia"/>
          <w:lang w:val="en-US"/>
        </w:rPr>
        <w:t xml:space="preserve">ada pengaruh model pembelajaran kooperatif tipe TGT terhadapa </w:t>
      </w:r>
      <w:r w:rsidR="000B4327" w:rsidRPr="000B4327">
        <w:rPr>
          <w:rFonts w:ascii="Georgia" w:hAnsi="Georgia"/>
        </w:rPr>
        <w:t xml:space="preserve">hasil belajar </w:t>
      </w:r>
      <w:r w:rsidR="00E607F9">
        <w:rPr>
          <w:rFonts w:ascii="Georgia" w:hAnsi="Georgia"/>
          <w:lang w:val="en-US"/>
        </w:rPr>
        <w:t xml:space="preserve">kognitif siswa pada konsep lari estafet. </w:t>
      </w:r>
      <w:proofErr w:type="gramStart"/>
      <w:r w:rsidR="00E607F9">
        <w:rPr>
          <w:rFonts w:ascii="Georgia" w:hAnsi="Georgia"/>
          <w:lang w:val="en-US"/>
        </w:rPr>
        <w:t>Hal ini karea TGT adalah salah model kooperatif yang dapat merangsang siswa untuk beratusias dalam bermain dan belajar.</w:t>
      </w:r>
      <w:proofErr w:type="gramEnd"/>
      <w:r w:rsidR="00E607F9">
        <w:rPr>
          <w:rFonts w:ascii="Georgia" w:hAnsi="Georgia"/>
          <w:lang w:val="en-US"/>
        </w:rPr>
        <w:t xml:space="preserve"> </w:t>
      </w:r>
      <w:proofErr w:type="gramStart"/>
      <w:r w:rsidR="00E607F9">
        <w:rPr>
          <w:rFonts w:ascii="Georgia" w:hAnsi="Georgia"/>
          <w:lang w:val="en-US"/>
        </w:rPr>
        <w:t>Hal ini karena anak SD masa keemasannya adalah bermain dan belajar.</w:t>
      </w:r>
      <w:proofErr w:type="gramEnd"/>
      <w:r w:rsidR="00E607F9">
        <w:rPr>
          <w:rFonts w:ascii="Georgia" w:hAnsi="Georgia"/>
          <w:lang w:val="en-US"/>
        </w:rPr>
        <w:t xml:space="preserve"> </w:t>
      </w:r>
      <w:proofErr w:type="gramStart"/>
      <w:r w:rsidR="00E607F9">
        <w:rPr>
          <w:rFonts w:ascii="Georgia" w:hAnsi="Georgia"/>
          <w:lang w:val="en-US"/>
        </w:rPr>
        <w:t>Sehingga siswa merasa senang dan gembira dalam memfasilitasi bakat dan minat mereka dalam belajar yang harus tiap waktu di dalam kelas.</w:t>
      </w:r>
      <w:proofErr w:type="gramEnd"/>
      <w:r w:rsidR="00E607F9">
        <w:rPr>
          <w:rFonts w:ascii="Georgia" w:hAnsi="Georgia"/>
          <w:lang w:val="en-US"/>
        </w:rPr>
        <w:t xml:space="preserve"> </w:t>
      </w:r>
      <w:proofErr w:type="gramStart"/>
      <w:r w:rsidR="00E607F9">
        <w:rPr>
          <w:rFonts w:ascii="Georgia" w:hAnsi="Georgia"/>
          <w:lang w:val="en-US"/>
        </w:rPr>
        <w:t>Dengan demikian Model kooperatif TGT dapat direkomendasikan dalam meningkat hasil belajar kognitif siswa pada konsep lari estafet.</w:t>
      </w:r>
      <w:proofErr w:type="gramEnd"/>
      <w:r w:rsidR="00E607F9">
        <w:rPr>
          <w:rFonts w:ascii="Georgia" w:hAnsi="Georgia"/>
          <w:lang w:val="en-US"/>
        </w:rPr>
        <w:t xml:space="preserve"> Saran yang yaitu, </w:t>
      </w:r>
      <w:r w:rsidR="00E607F9">
        <w:rPr>
          <w:rFonts w:ascii="Georgia" w:hAnsi="Georgia"/>
        </w:rPr>
        <w:t>1) Diharapkan kepada</w:t>
      </w:r>
      <w:r w:rsidR="00E607F9">
        <w:rPr>
          <w:rFonts w:ascii="Georgia" w:hAnsi="Georgia"/>
          <w:lang w:val="en-US"/>
        </w:rPr>
        <w:t xml:space="preserve"> </w:t>
      </w:r>
      <w:r w:rsidR="000B4327" w:rsidRPr="000B4327">
        <w:rPr>
          <w:rFonts w:ascii="Georgia" w:hAnsi="Georgia"/>
        </w:rPr>
        <w:t xml:space="preserve">guru </w:t>
      </w:r>
      <w:r w:rsidR="00E607F9">
        <w:rPr>
          <w:rFonts w:ascii="Georgia" w:hAnsi="Georgia"/>
          <w:lang w:val="en-US"/>
        </w:rPr>
        <w:t>pendidikan jasmani agar dapat melakukan kegiatan TGT untuk meteri atau topik yang lain dalam bidang olahraga</w:t>
      </w:r>
      <w:r w:rsidR="008C02A7">
        <w:rPr>
          <w:rFonts w:ascii="Georgia" w:hAnsi="Georgia"/>
        </w:rPr>
        <w:t xml:space="preserve">, </w:t>
      </w:r>
      <w:r w:rsidR="008C02A7">
        <w:rPr>
          <w:rFonts w:ascii="Georgia" w:hAnsi="Georgia"/>
          <w:lang w:val="en-US"/>
        </w:rPr>
        <w:t>2</w:t>
      </w:r>
      <w:r w:rsidR="000B4327" w:rsidRPr="000B4327">
        <w:rPr>
          <w:rFonts w:ascii="Georgia" w:hAnsi="Georgia"/>
        </w:rPr>
        <w:t xml:space="preserve">) Bagi sekolah </w:t>
      </w:r>
      <w:r w:rsidR="008C02A7">
        <w:rPr>
          <w:rFonts w:ascii="Georgia" w:hAnsi="Georgia"/>
          <w:lang w:val="en-US"/>
        </w:rPr>
        <w:t xml:space="preserve">dan pemerintah daerah dan pusat </w:t>
      </w:r>
      <w:r w:rsidR="000B4327" w:rsidRPr="000B4327">
        <w:rPr>
          <w:rFonts w:ascii="Georgia" w:hAnsi="Georgia"/>
        </w:rPr>
        <w:t xml:space="preserve">agar </w:t>
      </w:r>
      <w:r w:rsidR="008C02A7">
        <w:rPr>
          <w:rFonts w:ascii="Georgia" w:hAnsi="Georgia"/>
          <w:lang w:val="en-US"/>
        </w:rPr>
        <w:t xml:space="preserve">dapat memfasilitasi guru dan siswa berupa lapangan atau alat peraga yang baik yang dapat menopang dan menciptakan bibit-bibit muda generasi emas bangsa untuk mendukung olahraga prestasi baik skala pelajar maupun umum dimasa yang akan datang.  </w:t>
      </w:r>
    </w:p>
    <w:p w14:paraId="4D02B1BC" w14:textId="77777777" w:rsidR="00393069" w:rsidRPr="00723B12" w:rsidRDefault="00393069" w:rsidP="00D44197">
      <w:pPr>
        <w:spacing w:after="0" w:line="360" w:lineRule="auto"/>
        <w:jc w:val="both"/>
        <w:rPr>
          <w:rFonts w:ascii="Georgia" w:eastAsia="Arial" w:hAnsi="Georgia" w:cs="Times New Roman"/>
          <w:b/>
        </w:rPr>
      </w:pPr>
    </w:p>
    <w:p w14:paraId="542BC57E" w14:textId="77777777" w:rsidR="00191E4B" w:rsidRPr="00723B12" w:rsidRDefault="00191E4B" w:rsidP="00F70FF8">
      <w:pPr>
        <w:spacing w:after="0" w:line="240" w:lineRule="auto"/>
        <w:jc w:val="both"/>
        <w:rPr>
          <w:rFonts w:ascii="Georgia" w:eastAsia="Times New Roman" w:hAnsi="Georgia" w:cs="Times New Roman"/>
          <w:b/>
        </w:rPr>
      </w:pPr>
    </w:p>
    <w:p w14:paraId="2D7F5B8A" w14:textId="35379F81" w:rsidR="00D94ADC" w:rsidRPr="00881618" w:rsidRDefault="00D44197" w:rsidP="00881618">
      <w:pPr>
        <w:spacing w:after="0" w:line="360" w:lineRule="auto"/>
        <w:jc w:val="both"/>
        <w:rPr>
          <w:rFonts w:ascii="Georgia" w:eastAsia="Arial" w:hAnsi="Georgia" w:cs="Times New Roman"/>
          <w:b/>
          <w:lang w:val="en-US"/>
        </w:rPr>
      </w:pPr>
      <w:r>
        <w:rPr>
          <w:rFonts w:ascii="Georgia" w:eastAsia="Arial" w:hAnsi="Georgia" w:cs="Times New Roman"/>
          <w:b/>
          <w:lang w:val="en-US"/>
        </w:rPr>
        <w:t>DAFTAR PUSTAKA</w:t>
      </w:r>
    </w:p>
    <w:p w14:paraId="490D1A33" w14:textId="33DE0440"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Pr>
          <w:rFonts w:ascii="Georgia" w:hAnsi="Georgia" w:cs="Times New Roman"/>
          <w:lang w:val="en-US"/>
        </w:rPr>
        <w:fldChar w:fldCharType="begin" w:fldLock="1"/>
      </w:r>
      <w:r>
        <w:rPr>
          <w:rFonts w:ascii="Georgia" w:hAnsi="Georgia" w:cs="Times New Roman"/>
          <w:lang w:val="en-US"/>
        </w:rPr>
        <w:instrText xml:space="preserve">ADDIN Mendeley Bibliography CSL_BIBLIOGRAPHY </w:instrText>
      </w:r>
      <w:r>
        <w:rPr>
          <w:rFonts w:ascii="Georgia" w:hAnsi="Georgia" w:cs="Times New Roman"/>
          <w:lang w:val="en-US"/>
        </w:rPr>
        <w:fldChar w:fldCharType="separate"/>
      </w:r>
      <w:r w:rsidRPr="00D94ADC">
        <w:rPr>
          <w:rFonts w:ascii="Georgia" w:hAnsi="Georgia" w:cs="Times New Roman"/>
          <w:noProof/>
          <w:szCs w:val="24"/>
        </w:rPr>
        <w:t xml:space="preserve">Albus, P., Vogt, A., &amp; Seufert, T. (2021). Signaling in virtual reality influences learning outcome and cognitive load. </w:t>
      </w:r>
      <w:r w:rsidRPr="00D94ADC">
        <w:rPr>
          <w:rFonts w:ascii="Georgia" w:hAnsi="Georgia" w:cs="Times New Roman"/>
          <w:i/>
          <w:iCs/>
          <w:noProof/>
          <w:szCs w:val="24"/>
        </w:rPr>
        <w:t>Computers and Education</w:t>
      </w:r>
      <w:r w:rsidRPr="00D94ADC">
        <w:rPr>
          <w:rFonts w:ascii="Georgia" w:hAnsi="Georgia" w:cs="Times New Roman"/>
          <w:noProof/>
          <w:szCs w:val="24"/>
        </w:rPr>
        <w:t xml:space="preserve">, </w:t>
      </w:r>
      <w:r w:rsidRPr="00D94ADC">
        <w:rPr>
          <w:rFonts w:ascii="Georgia" w:hAnsi="Georgia" w:cs="Times New Roman"/>
          <w:i/>
          <w:iCs/>
          <w:noProof/>
          <w:szCs w:val="24"/>
        </w:rPr>
        <w:t>166</w:t>
      </w:r>
      <w:r w:rsidRPr="00D94ADC">
        <w:rPr>
          <w:rFonts w:ascii="Georgia" w:hAnsi="Georgia" w:cs="Times New Roman"/>
          <w:noProof/>
          <w:szCs w:val="24"/>
        </w:rPr>
        <w:t>(January), 104154. https://doi.org/10.1016/j.compedu.2021.104154</w:t>
      </w:r>
    </w:p>
    <w:p w14:paraId="16B2F58A"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Alpaslan, G. (2016). The investigation of the effects of physical education lessons planned in accordance with cooperative learning approach on secondary school students problem solving skills. </w:t>
      </w:r>
      <w:r w:rsidRPr="00D94ADC">
        <w:rPr>
          <w:rFonts w:ascii="Georgia" w:hAnsi="Georgia" w:cs="Times New Roman"/>
          <w:i/>
          <w:iCs/>
          <w:noProof/>
          <w:szCs w:val="24"/>
        </w:rPr>
        <w:t>Educational Research and Reviews</w:t>
      </w:r>
      <w:r w:rsidRPr="00D94ADC">
        <w:rPr>
          <w:rFonts w:ascii="Georgia" w:hAnsi="Georgia" w:cs="Times New Roman"/>
          <w:noProof/>
          <w:szCs w:val="24"/>
        </w:rPr>
        <w:t xml:space="preserve">, </w:t>
      </w:r>
      <w:r w:rsidRPr="00D94ADC">
        <w:rPr>
          <w:rFonts w:ascii="Georgia" w:hAnsi="Georgia" w:cs="Times New Roman"/>
          <w:i/>
          <w:iCs/>
          <w:noProof/>
          <w:szCs w:val="24"/>
        </w:rPr>
        <w:t>11</w:t>
      </w:r>
      <w:r w:rsidRPr="00D94ADC">
        <w:rPr>
          <w:rFonts w:ascii="Georgia" w:hAnsi="Georgia" w:cs="Times New Roman"/>
          <w:noProof/>
          <w:szCs w:val="24"/>
        </w:rPr>
        <w:t>(10), 998–1007. https://doi.org/10.5897/err2016.2756</w:t>
      </w:r>
    </w:p>
    <w:p w14:paraId="6A826EE5"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André, A., Deneuve, P., &amp; Louvet, B. (2011). Cooperative learning in physical education and acceptance of students with learning disabilities. </w:t>
      </w:r>
      <w:r w:rsidRPr="00D94ADC">
        <w:rPr>
          <w:rFonts w:ascii="Georgia" w:hAnsi="Georgia" w:cs="Times New Roman"/>
          <w:i/>
          <w:iCs/>
          <w:noProof/>
          <w:szCs w:val="24"/>
        </w:rPr>
        <w:t>Journal of Applied Sport Psychology</w:t>
      </w:r>
      <w:r w:rsidRPr="00D94ADC">
        <w:rPr>
          <w:rFonts w:ascii="Georgia" w:hAnsi="Georgia" w:cs="Times New Roman"/>
          <w:noProof/>
          <w:szCs w:val="24"/>
        </w:rPr>
        <w:t xml:space="preserve">, </w:t>
      </w:r>
      <w:r w:rsidRPr="00D94ADC">
        <w:rPr>
          <w:rFonts w:ascii="Georgia" w:hAnsi="Georgia" w:cs="Times New Roman"/>
          <w:i/>
          <w:iCs/>
          <w:noProof/>
          <w:szCs w:val="24"/>
        </w:rPr>
        <w:t>23</w:t>
      </w:r>
      <w:r w:rsidRPr="00D94ADC">
        <w:rPr>
          <w:rFonts w:ascii="Georgia" w:hAnsi="Georgia" w:cs="Times New Roman"/>
          <w:noProof/>
          <w:szCs w:val="24"/>
        </w:rPr>
        <w:t>(4), 474–485. https://doi.org/10.1080/10413200.2011.580826</w:t>
      </w:r>
    </w:p>
    <w:p w14:paraId="28E53723"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Andriyani, F. D., Biddle, S. J. H., &amp; De Cocker, K. (2021). Adolescents’ physical activity and sedentary behaviour in Indonesia during the COVID-19 pandemic: a qualitative study of mothers’ perspectives. </w:t>
      </w:r>
      <w:r w:rsidRPr="00D94ADC">
        <w:rPr>
          <w:rFonts w:ascii="Georgia" w:hAnsi="Georgia" w:cs="Times New Roman"/>
          <w:i/>
          <w:iCs/>
          <w:noProof/>
          <w:szCs w:val="24"/>
        </w:rPr>
        <w:t>BMC Public Health</w:t>
      </w:r>
      <w:r w:rsidRPr="00D94ADC">
        <w:rPr>
          <w:rFonts w:ascii="Georgia" w:hAnsi="Georgia" w:cs="Times New Roman"/>
          <w:noProof/>
          <w:szCs w:val="24"/>
        </w:rPr>
        <w:t xml:space="preserve">, </w:t>
      </w:r>
      <w:r w:rsidRPr="00D94ADC">
        <w:rPr>
          <w:rFonts w:ascii="Georgia" w:hAnsi="Georgia" w:cs="Times New Roman"/>
          <w:i/>
          <w:iCs/>
          <w:noProof/>
          <w:szCs w:val="24"/>
        </w:rPr>
        <w:t>21</w:t>
      </w:r>
      <w:r w:rsidRPr="00D94ADC">
        <w:rPr>
          <w:rFonts w:ascii="Georgia" w:hAnsi="Georgia" w:cs="Times New Roman"/>
          <w:noProof/>
          <w:szCs w:val="24"/>
        </w:rPr>
        <w:t>(1), 1–14. https://doi.org/10.1186/s12889-021-11931-1</w:t>
      </w:r>
    </w:p>
    <w:p w14:paraId="7C80FB6C"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Arena, S. L., &amp; Davis, J. L. (2021). The concept-specific effects of cooperative learning in an introductory engineering mechanics dynamics course. </w:t>
      </w:r>
      <w:r w:rsidRPr="00D94ADC">
        <w:rPr>
          <w:rFonts w:ascii="Georgia" w:hAnsi="Georgia" w:cs="Times New Roman"/>
          <w:i/>
          <w:iCs/>
          <w:noProof/>
          <w:szCs w:val="24"/>
        </w:rPr>
        <w:t>Innovations in Education and Teaching International</w:t>
      </w:r>
      <w:r w:rsidRPr="00D94ADC">
        <w:rPr>
          <w:rFonts w:ascii="Georgia" w:hAnsi="Georgia" w:cs="Times New Roman"/>
          <w:noProof/>
          <w:szCs w:val="24"/>
        </w:rPr>
        <w:t xml:space="preserve">, </w:t>
      </w:r>
      <w:r w:rsidRPr="00D94ADC">
        <w:rPr>
          <w:rFonts w:ascii="Georgia" w:hAnsi="Georgia" w:cs="Times New Roman"/>
          <w:i/>
          <w:iCs/>
          <w:noProof/>
          <w:szCs w:val="24"/>
        </w:rPr>
        <w:t>58</w:t>
      </w:r>
      <w:r w:rsidRPr="00D94ADC">
        <w:rPr>
          <w:rFonts w:ascii="Georgia" w:hAnsi="Georgia" w:cs="Times New Roman"/>
          <w:noProof/>
          <w:szCs w:val="24"/>
        </w:rPr>
        <w:t>(4), 387–397. https://doi.org/10.1080/14703297.2020.1777886</w:t>
      </w:r>
    </w:p>
    <w:p w14:paraId="7B3A69E6" w14:textId="7495113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Artha, A. A., Syam T, A. R., &amp; Priambodo, A. (2020). The </w:t>
      </w:r>
      <w:r w:rsidR="00881618" w:rsidRPr="00D94ADC">
        <w:rPr>
          <w:rFonts w:ascii="Georgia" w:hAnsi="Georgia" w:cs="Times New Roman"/>
          <w:noProof/>
          <w:szCs w:val="24"/>
        </w:rPr>
        <w:t>application of teams games tournament (tgt) and teaching game for understanding</w:t>
      </w:r>
      <w:r w:rsidRPr="00D94ADC">
        <w:rPr>
          <w:rFonts w:ascii="Georgia" w:hAnsi="Georgia" w:cs="Times New Roman"/>
          <w:noProof/>
          <w:szCs w:val="24"/>
        </w:rPr>
        <w:t xml:space="preserve"> (TGfU) </w:t>
      </w:r>
      <w:r w:rsidR="00881618" w:rsidRPr="00D94ADC">
        <w:rPr>
          <w:rFonts w:ascii="Georgia" w:hAnsi="Georgia" w:cs="Times New Roman"/>
          <w:noProof/>
          <w:szCs w:val="24"/>
        </w:rPr>
        <w:t>learning models on learning motivation and volley ball passing skills.</w:t>
      </w:r>
      <w:r w:rsidRPr="00D94ADC">
        <w:rPr>
          <w:rFonts w:ascii="Georgia" w:hAnsi="Georgia" w:cs="Times New Roman"/>
          <w:noProof/>
          <w:szCs w:val="24"/>
        </w:rPr>
        <w:t xml:space="preserve"> </w:t>
      </w:r>
      <w:r w:rsidRPr="00D94ADC">
        <w:rPr>
          <w:rFonts w:ascii="Georgia" w:hAnsi="Georgia" w:cs="Times New Roman"/>
          <w:i/>
          <w:iCs/>
          <w:noProof/>
          <w:szCs w:val="24"/>
        </w:rPr>
        <w:t>Budapest International Research and Critics in Linguistics and Education (BirLE) Journal</w:t>
      </w:r>
      <w:r w:rsidRPr="00D94ADC">
        <w:rPr>
          <w:rFonts w:ascii="Georgia" w:hAnsi="Georgia" w:cs="Times New Roman"/>
          <w:noProof/>
          <w:szCs w:val="24"/>
        </w:rPr>
        <w:t xml:space="preserve">, </w:t>
      </w:r>
      <w:r w:rsidRPr="00D94ADC">
        <w:rPr>
          <w:rFonts w:ascii="Georgia" w:hAnsi="Georgia" w:cs="Times New Roman"/>
          <w:i/>
          <w:iCs/>
          <w:noProof/>
          <w:szCs w:val="24"/>
        </w:rPr>
        <w:t>3</w:t>
      </w:r>
      <w:r w:rsidRPr="00D94ADC">
        <w:rPr>
          <w:rFonts w:ascii="Georgia" w:hAnsi="Georgia" w:cs="Times New Roman"/>
          <w:noProof/>
          <w:szCs w:val="24"/>
        </w:rPr>
        <w:t>(1), 46–53. https://doi.org/10.33258/birle.v3i1.751</w:t>
      </w:r>
    </w:p>
    <w:p w14:paraId="0AFD8C93"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Bailey, R., Armour, K., Kirk, D., Jess, M., Pickup, I., &amp; Sandford, R. (2009). The educational benefits claimed for physical education and school sport: An academic review. </w:t>
      </w:r>
      <w:r w:rsidRPr="00D94ADC">
        <w:rPr>
          <w:rFonts w:ascii="Georgia" w:hAnsi="Georgia" w:cs="Times New Roman"/>
          <w:i/>
          <w:iCs/>
          <w:noProof/>
          <w:szCs w:val="24"/>
        </w:rPr>
        <w:t>Research Papers in Education</w:t>
      </w:r>
      <w:r w:rsidRPr="00D94ADC">
        <w:rPr>
          <w:rFonts w:ascii="Georgia" w:hAnsi="Georgia" w:cs="Times New Roman"/>
          <w:noProof/>
          <w:szCs w:val="24"/>
        </w:rPr>
        <w:t xml:space="preserve">, </w:t>
      </w:r>
      <w:r w:rsidRPr="00D94ADC">
        <w:rPr>
          <w:rFonts w:ascii="Georgia" w:hAnsi="Georgia" w:cs="Times New Roman"/>
          <w:i/>
          <w:iCs/>
          <w:noProof/>
          <w:szCs w:val="24"/>
        </w:rPr>
        <w:t>24</w:t>
      </w:r>
      <w:r w:rsidRPr="00D94ADC">
        <w:rPr>
          <w:rFonts w:ascii="Georgia" w:hAnsi="Georgia" w:cs="Times New Roman"/>
          <w:noProof/>
          <w:szCs w:val="24"/>
        </w:rPr>
        <w:t>(1), 1–27. https://doi.org/10.1080/02671520701809817</w:t>
      </w:r>
    </w:p>
    <w:p w14:paraId="3C06AC29"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lastRenderedPageBreak/>
        <w:t xml:space="preserve">Bisson, M., Tremblay, F., Pronovost, E., Julien, A. S., &amp; Marc, I. (2019). Accelerometry to measure physical activity in toddlers: Determination of wear time requirements for a reliable estimate of physical activity. </w:t>
      </w:r>
      <w:r w:rsidRPr="00D94ADC">
        <w:rPr>
          <w:rFonts w:ascii="Georgia" w:hAnsi="Georgia" w:cs="Times New Roman"/>
          <w:i/>
          <w:iCs/>
          <w:noProof/>
          <w:szCs w:val="24"/>
        </w:rPr>
        <w:t>Journal of Sports Sciences</w:t>
      </w:r>
      <w:r w:rsidRPr="00D94ADC">
        <w:rPr>
          <w:rFonts w:ascii="Georgia" w:hAnsi="Georgia" w:cs="Times New Roman"/>
          <w:noProof/>
          <w:szCs w:val="24"/>
        </w:rPr>
        <w:t xml:space="preserve">, </w:t>
      </w:r>
      <w:r w:rsidRPr="00D94ADC">
        <w:rPr>
          <w:rFonts w:ascii="Georgia" w:hAnsi="Georgia" w:cs="Times New Roman"/>
          <w:i/>
          <w:iCs/>
          <w:noProof/>
          <w:szCs w:val="24"/>
        </w:rPr>
        <w:t>37</w:t>
      </w:r>
      <w:r w:rsidRPr="00D94ADC">
        <w:rPr>
          <w:rFonts w:ascii="Georgia" w:hAnsi="Georgia" w:cs="Times New Roman"/>
          <w:noProof/>
          <w:szCs w:val="24"/>
        </w:rPr>
        <w:t>(3), 298–305. https://doi.org/10.1080/02640414.2018.1499391</w:t>
      </w:r>
    </w:p>
    <w:p w14:paraId="670762AE"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Bjørke, L., &amp; Mordal Moen, K. (2020). Cooperative learning in physical education: a study of students’ learning journey over 24 lessons. </w:t>
      </w:r>
      <w:r w:rsidRPr="00D94ADC">
        <w:rPr>
          <w:rFonts w:ascii="Georgia" w:hAnsi="Georgia" w:cs="Times New Roman"/>
          <w:i/>
          <w:iCs/>
          <w:noProof/>
          <w:szCs w:val="24"/>
        </w:rPr>
        <w:t>Physical Education and Sport Pedagogy</w:t>
      </w:r>
      <w:r w:rsidRPr="00D94ADC">
        <w:rPr>
          <w:rFonts w:ascii="Georgia" w:hAnsi="Georgia" w:cs="Times New Roman"/>
          <w:noProof/>
          <w:szCs w:val="24"/>
        </w:rPr>
        <w:t xml:space="preserve">, </w:t>
      </w:r>
      <w:r w:rsidRPr="00D94ADC">
        <w:rPr>
          <w:rFonts w:ascii="Georgia" w:hAnsi="Georgia" w:cs="Times New Roman"/>
          <w:i/>
          <w:iCs/>
          <w:noProof/>
          <w:szCs w:val="24"/>
        </w:rPr>
        <w:t>25</w:t>
      </w:r>
      <w:r w:rsidRPr="00D94ADC">
        <w:rPr>
          <w:rFonts w:ascii="Georgia" w:hAnsi="Georgia" w:cs="Times New Roman"/>
          <w:noProof/>
          <w:szCs w:val="24"/>
        </w:rPr>
        <w:t>(6), 600–612. https://doi.org/10.1080/17408989.2020.1761955</w:t>
      </w:r>
    </w:p>
    <w:p w14:paraId="2161997C"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Bores-García, D., Hortigüela-Alcalá, D., Fernandez-Rio, F. J., González-Calvo, G., &amp; Barba-Martín, R. (2021). Research on Cooperative Learning in Physical Education: Systematic Review of the Last Five Years. </w:t>
      </w:r>
      <w:r w:rsidRPr="00D94ADC">
        <w:rPr>
          <w:rFonts w:ascii="Georgia" w:hAnsi="Georgia" w:cs="Times New Roman"/>
          <w:i/>
          <w:iCs/>
          <w:noProof/>
          <w:szCs w:val="24"/>
        </w:rPr>
        <w:t>Research Quarterly for Exercise and Sport</w:t>
      </w:r>
      <w:r w:rsidRPr="00D94ADC">
        <w:rPr>
          <w:rFonts w:ascii="Georgia" w:hAnsi="Georgia" w:cs="Times New Roman"/>
          <w:noProof/>
          <w:szCs w:val="24"/>
        </w:rPr>
        <w:t xml:space="preserve">, </w:t>
      </w:r>
      <w:r w:rsidRPr="00D94ADC">
        <w:rPr>
          <w:rFonts w:ascii="Georgia" w:hAnsi="Georgia" w:cs="Times New Roman"/>
          <w:i/>
          <w:iCs/>
          <w:noProof/>
          <w:szCs w:val="24"/>
        </w:rPr>
        <w:t>92</w:t>
      </w:r>
      <w:r w:rsidRPr="00D94ADC">
        <w:rPr>
          <w:rFonts w:ascii="Georgia" w:hAnsi="Georgia" w:cs="Times New Roman"/>
          <w:noProof/>
          <w:szCs w:val="24"/>
        </w:rPr>
        <w:t>(1), 146–155. https://doi.org/10.1080/02701367.2020.1719276</w:t>
      </w:r>
    </w:p>
    <w:p w14:paraId="3849EF95"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Brewis, E. (2019). Fair access to higher education and discourses of development: a policy analysis from Indonesia. </w:t>
      </w:r>
      <w:r w:rsidRPr="00D94ADC">
        <w:rPr>
          <w:rFonts w:ascii="Georgia" w:hAnsi="Georgia" w:cs="Times New Roman"/>
          <w:i/>
          <w:iCs/>
          <w:noProof/>
          <w:szCs w:val="24"/>
        </w:rPr>
        <w:t>Compare</w:t>
      </w:r>
      <w:r w:rsidRPr="00D94ADC">
        <w:rPr>
          <w:rFonts w:ascii="Georgia" w:hAnsi="Georgia" w:cs="Times New Roman"/>
          <w:noProof/>
          <w:szCs w:val="24"/>
        </w:rPr>
        <w:t xml:space="preserve">, </w:t>
      </w:r>
      <w:r w:rsidRPr="00D94ADC">
        <w:rPr>
          <w:rFonts w:ascii="Georgia" w:hAnsi="Georgia" w:cs="Times New Roman"/>
          <w:i/>
          <w:iCs/>
          <w:noProof/>
          <w:szCs w:val="24"/>
        </w:rPr>
        <w:t>49</w:t>
      </w:r>
      <w:r w:rsidRPr="00D94ADC">
        <w:rPr>
          <w:rFonts w:ascii="Georgia" w:hAnsi="Georgia" w:cs="Times New Roman"/>
          <w:noProof/>
          <w:szCs w:val="24"/>
        </w:rPr>
        <w:t>(3), 453–470. https://doi.org/10.1080/03057925.2018.1425132</w:t>
      </w:r>
    </w:p>
    <w:p w14:paraId="0778F030"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Buchs, C., Filippou, D., Pulfrey, C., &amp; Volpé, Y. (2017). Challenges for cooperative learning implementation: reports from elementary school teachers. </w:t>
      </w:r>
      <w:r w:rsidRPr="00D94ADC">
        <w:rPr>
          <w:rFonts w:ascii="Georgia" w:hAnsi="Georgia" w:cs="Times New Roman"/>
          <w:i/>
          <w:iCs/>
          <w:noProof/>
          <w:szCs w:val="24"/>
        </w:rPr>
        <w:t>Journal of Education for Teaching</w:t>
      </w:r>
      <w:r w:rsidRPr="00D94ADC">
        <w:rPr>
          <w:rFonts w:ascii="Georgia" w:hAnsi="Georgia" w:cs="Times New Roman"/>
          <w:noProof/>
          <w:szCs w:val="24"/>
        </w:rPr>
        <w:t xml:space="preserve">, </w:t>
      </w:r>
      <w:r w:rsidRPr="00D94ADC">
        <w:rPr>
          <w:rFonts w:ascii="Georgia" w:hAnsi="Georgia" w:cs="Times New Roman"/>
          <w:i/>
          <w:iCs/>
          <w:noProof/>
          <w:szCs w:val="24"/>
        </w:rPr>
        <w:t>43</w:t>
      </w:r>
      <w:r w:rsidRPr="00D94ADC">
        <w:rPr>
          <w:rFonts w:ascii="Georgia" w:hAnsi="Georgia" w:cs="Times New Roman"/>
          <w:noProof/>
          <w:szCs w:val="24"/>
        </w:rPr>
        <w:t>(3), 296–306. https://doi.org/10.1080/02607476.2017.1321673</w:t>
      </w:r>
    </w:p>
    <w:p w14:paraId="45A318BC"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Çankaya, S., &amp; Karamete, A. (2009). The effects of educational computer games on students’ attitudes towards mathematics course and educational computer games. </w:t>
      </w:r>
      <w:r w:rsidRPr="00D94ADC">
        <w:rPr>
          <w:rFonts w:ascii="Georgia" w:hAnsi="Georgia" w:cs="Times New Roman"/>
          <w:i/>
          <w:iCs/>
          <w:noProof/>
          <w:szCs w:val="24"/>
        </w:rPr>
        <w:t>Procedia - Social and Behavioral Sciences</w:t>
      </w:r>
      <w:r w:rsidRPr="00D94ADC">
        <w:rPr>
          <w:rFonts w:ascii="Georgia" w:hAnsi="Georgia" w:cs="Times New Roman"/>
          <w:noProof/>
          <w:szCs w:val="24"/>
        </w:rPr>
        <w:t xml:space="preserve">, </w:t>
      </w:r>
      <w:r w:rsidRPr="00D94ADC">
        <w:rPr>
          <w:rFonts w:ascii="Georgia" w:hAnsi="Georgia" w:cs="Times New Roman"/>
          <w:i/>
          <w:iCs/>
          <w:noProof/>
          <w:szCs w:val="24"/>
        </w:rPr>
        <w:t>1</w:t>
      </w:r>
      <w:r w:rsidRPr="00D94ADC">
        <w:rPr>
          <w:rFonts w:ascii="Georgia" w:hAnsi="Georgia" w:cs="Times New Roman"/>
          <w:noProof/>
          <w:szCs w:val="24"/>
        </w:rPr>
        <w:t>(1), 145–149. https://doi.org/10.1016/j.sbspro.2009.01.027</w:t>
      </w:r>
    </w:p>
    <w:p w14:paraId="1CF8C016"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Casey, A. (2014). Models-based practice: Great white hope or white elephant? </w:t>
      </w:r>
      <w:r w:rsidRPr="00D94ADC">
        <w:rPr>
          <w:rFonts w:ascii="Georgia" w:hAnsi="Georgia" w:cs="Times New Roman"/>
          <w:i/>
          <w:iCs/>
          <w:noProof/>
          <w:szCs w:val="24"/>
        </w:rPr>
        <w:t>Physical Education and Sport Pedagogy</w:t>
      </w:r>
      <w:r w:rsidRPr="00D94ADC">
        <w:rPr>
          <w:rFonts w:ascii="Georgia" w:hAnsi="Georgia" w:cs="Times New Roman"/>
          <w:noProof/>
          <w:szCs w:val="24"/>
        </w:rPr>
        <w:t xml:space="preserve">, </w:t>
      </w:r>
      <w:r w:rsidRPr="00D94ADC">
        <w:rPr>
          <w:rFonts w:ascii="Georgia" w:hAnsi="Georgia" w:cs="Times New Roman"/>
          <w:i/>
          <w:iCs/>
          <w:noProof/>
          <w:szCs w:val="24"/>
        </w:rPr>
        <w:t>19</w:t>
      </w:r>
      <w:r w:rsidRPr="00D94ADC">
        <w:rPr>
          <w:rFonts w:ascii="Georgia" w:hAnsi="Georgia" w:cs="Times New Roman"/>
          <w:noProof/>
          <w:szCs w:val="24"/>
        </w:rPr>
        <w:t>(1), 18–34. https://doi.org/10.1080/17408989.2012.726977</w:t>
      </w:r>
    </w:p>
    <w:p w14:paraId="0DEDD307"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Casey, A., &amp; Fernandez-Rio, J. (2019). Cooperative Learning and the Affective Domain. </w:t>
      </w:r>
      <w:r w:rsidRPr="00D94ADC">
        <w:rPr>
          <w:rFonts w:ascii="Georgia" w:hAnsi="Georgia" w:cs="Times New Roman"/>
          <w:i/>
          <w:iCs/>
          <w:noProof/>
          <w:szCs w:val="24"/>
        </w:rPr>
        <w:t>Journal of Physical Education, Recreation and Dance</w:t>
      </w:r>
      <w:r w:rsidRPr="00D94ADC">
        <w:rPr>
          <w:rFonts w:ascii="Georgia" w:hAnsi="Georgia" w:cs="Times New Roman"/>
          <w:noProof/>
          <w:szCs w:val="24"/>
        </w:rPr>
        <w:t xml:space="preserve">, </w:t>
      </w:r>
      <w:r w:rsidRPr="00D94ADC">
        <w:rPr>
          <w:rFonts w:ascii="Georgia" w:hAnsi="Georgia" w:cs="Times New Roman"/>
          <w:i/>
          <w:iCs/>
          <w:noProof/>
          <w:szCs w:val="24"/>
        </w:rPr>
        <w:t>90</w:t>
      </w:r>
      <w:r w:rsidRPr="00D94ADC">
        <w:rPr>
          <w:rFonts w:ascii="Georgia" w:hAnsi="Georgia" w:cs="Times New Roman"/>
          <w:noProof/>
          <w:szCs w:val="24"/>
        </w:rPr>
        <w:t>(3), 12–17. https://doi.org/10.1080/07303084.2019.1559671</w:t>
      </w:r>
    </w:p>
    <w:p w14:paraId="77C56E82"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Casey, A., &amp; Quennerstedt, M. (2020). Cooperative learning in physical education encountering Dewey’s educational theory. </w:t>
      </w:r>
      <w:r w:rsidRPr="00D94ADC">
        <w:rPr>
          <w:rFonts w:ascii="Georgia" w:hAnsi="Georgia" w:cs="Times New Roman"/>
          <w:i/>
          <w:iCs/>
          <w:noProof/>
          <w:szCs w:val="24"/>
        </w:rPr>
        <w:t>European Physical Education Review</w:t>
      </w:r>
      <w:r w:rsidRPr="00D94ADC">
        <w:rPr>
          <w:rFonts w:ascii="Georgia" w:hAnsi="Georgia" w:cs="Times New Roman"/>
          <w:noProof/>
          <w:szCs w:val="24"/>
        </w:rPr>
        <w:t xml:space="preserve">, </w:t>
      </w:r>
      <w:r w:rsidRPr="00D94ADC">
        <w:rPr>
          <w:rFonts w:ascii="Georgia" w:hAnsi="Georgia" w:cs="Times New Roman"/>
          <w:i/>
          <w:iCs/>
          <w:noProof/>
          <w:szCs w:val="24"/>
        </w:rPr>
        <w:t>26</w:t>
      </w:r>
      <w:r w:rsidRPr="00D94ADC">
        <w:rPr>
          <w:rFonts w:ascii="Georgia" w:hAnsi="Georgia" w:cs="Times New Roman"/>
          <w:noProof/>
          <w:szCs w:val="24"/>
        </w:rPr>
        <w:t>(4), 1023–1037. https://doi.org/10.1177/1356336X20904075</w:t>
      </w:r>
    </w:p>
    <w:p w14:paraId="6C2D6F8E"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Chan, M. (2020). A multilevel SEM study of classroom talk on cooperative learning and academic achievement: Does cooperative scaffolding matter? </w:t>
      </w:r>
      <w:r w:rsidRPr="00D94ADC">
        <w:rPr>
          <w:rFonts w:ascii="Georgia" w:hAnsi="Georgia" w:cs="Times New Roman"/>
          <w:i/>
          <w:iCs/>
          <w:noProof/>
          <w:szCs w:val="24"/>
        </w:rPr>
        <w:t>International Journal of Educational Research</w:t>
      </w:r>
      <w:r w:rsidRPr="00D94ADC">
        <w:rPr>
          <w:rFonts w:ascii="Georgia" w:hAnsi="Georgia" w:cs="Times New Roman"/>
          <w:noProof/>
          <w:szCs w:val="24"/>
        </w:rPr>
        <w:t xml:space="preserve">, </w:t>
      </w:r>
      <w:r w:rsidRPr="00D94ADC">
        <w:rPr>
          <w:rFonts w:ascii="Georgia" w:hAnsi="Georgia" w:cs="Times New Roman"/>
          <w:i/>
          <w:iCs/>
          <w:noProof/>
          <w:szCs w:val="24"/>
        </w:rPr>
        <w:t>101</w:t>
      </w:r>
      <w:r w:rsidRPr="00D94ADC">
        <w:rPr>
          <w:rFonts w:ascii="Georgia" w:hAnsi="Georgia" w:cs="Times New Roman"/>
          <w:noProof/>
          <w:szCs w:val="24"/>
        </w:rPr>
        <w:t>(March), 101564. https://doi.org/10.1016/j.ijer.2020.101564</w:t>
      </w:r>
    </w:p>
    <w:p w14:paraId="261D7DDE"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Čoh, M., Hébert-Losier, K., Štuhec, S., Babić, V., &amp; Supej, M. (2018). Kinematics of Usain Bolt’s maximal sprint velocity. </w:t>
      </w:r>
      <w:r w:rsidRPr="00D94ADC">
        <w:rPr>
          <w:rFonts w:ascii="Georgia" w:hAnsi="Georgia" w:cs="Times New Roman"/>
          <w:i/>
          <w:iCs/>
          <w:noProof/>
          <w:szCs w:val="24"/>
        </w:rPr>
        <w:t>Kinesiology</w:t>
      </w:r>
      <w:r w:rsidRPr="00D94ADC">
        <w:rPr>
          <w:rFonts w:ascii="Georgia" w:hAnsi="Georgia" w:cs="Times New Roman"/>
          <w:noProof/>
          <w:szCs w:val="24"/>
        </w:rPr>
        <w:t xml:space="preserve">, </w:t>
      </w:r>
      <w:r w:rsidRPr="00D94ADC">
        <w:rPr>
          <w:rFonts w:ascii="Georgia" w:hAnsi="Georgia" w:cs="Times New Roman"/>
          <w:i/>
          <w:iCs/>
          <w:noProof/>
          <w:szCs w:val="24"/>
        </w:rPr>
        <w:t>50</w:t>
      </w:r>
      <w:r w:rsidRPr="00D94ADC">
        <w:rPr>
          <w:rFonts w:ascii="Georgia" w:hAnsi="Georgia" w:cs="Times New Roman"/>
          <w:noProof/>
          <w:szCs w:val="24"/>
        </w:rPr>
        <w:t>(2), 172–180. https://doi.org/10.26582/K.50.2.10</w:t>
      </w:r>
    </w:p>
    <w:p w14:paraId="5B098EBE" w14:textId="77777777" w:rsidR="00881618" w:rsidRDefault="00D94ADC" w:rsidP="00881618">
      <w:pPr>
        <w:widowControl w:val="0"/>
        <w:autoSpaceDE w:val="0"/>
        <w:autoSpaceDN w:val="0"/>
        <w:adjustRightInd w:val="0"/>
        <w:spacing w:after="0" w:line="240" w:lineRule="auto"/>
        <w:ind w:left="480" w:hanging="480"/>
        <w:jc w:val="both"/>
        <w:rPr>
          <w:rFonts w:ascii="Georgia" w:hAnsi="Georgia" w:cs="Times New Roman"/>
          <w:noProof/>
          <w:szCs w:val="24"/>
          <w:lang w:val="en-US"/>
        </w:rPr>
      </w:pPr>
      <w:r w:rsidRPr="00D94ADC">
        <w:rPr>
          <w:rFonts w:ascii="Georgia" w:hAnsi="Georgia" w:cs="Times New Roman"/>
          <w:noProof/>
          <w:szCs w:val="24"/>
        </w:rPr>
        <w:t xml:space="preserve">Darby, W., Bergeron, P., Brown, N., DeFoor, M., &amp; Jones, B. (2020). Escape room relay race: “Go for the gold” in formative assessment. </w:t>
      </w:r>
      <w:r w:rsidRPr="00D94ADC">
        <w:rPr>
          <w:rFonts w:ascii="Georgia" w:hAnsi="Georgia" w:cs="Times New Roman"/>
          <w:i/>
          <w:iCs/>
          <w:noProof/>
          <w:szCs w:val="24"/>
        </w:rPr>
        <w:t>Journal of Nursing Education</w:t>
      </w:r>
      <w:r w:rsidRPr="00D94ADC">
        <w:rPr>
          <w:rFonts w:ascii="Georgia" w:hAnsi="Georgia" w:cs="Times New Roman"/>
          <w:noProof/>
          <w:szCs w:val="24"/>
        </w:rPr>
        <w:t xml:space="preserve">, </w:t>
      </w:r>
      <w:r w:rsidRPr="00D94ADC">
        <w:rPr>
          <w:rFonts w:ascii="Georgia" w:hAnsi="Georgia" w:cs="Times New Roman"/>
          <w:i/>
          <w:iCs/>
          <w:noProof/>
          <w:szCs w:val="24"/>
        </w:rPr>
        <w:t>59</w:t>
      </w:r>
      <w:r w:rsidRPr="00D94ADC">
        <w:rPr>
          <w:rFonts w:ascii="Georgia" w:hAnsi="Georgia" w:cs="Times New Roman"/>
          <w:noProof/>
          <w:szCs w:val="24"/>
        </w:rPr>
        <w:t>(11), 646–650. https://doi.org/10.3928/01484834-20201020-09</w:t>
      </w:r>
    </w:p>
    <w:p w14:paraId="7CAAA4B9" w14:textId="18B5F108" w:rsidR="00881618" w:rsidRPr="00881618" w:rsidRDefault="00881618" w:rsidP="00881618">
      <w:pPr>
        <w:widowControl w:val="0"/>
        <w:autoSpaceDE w:val="0"/>
        <w:autoSpaceDN w:val="0"/>
        <w:adjustRightInd w:val="0"/>
        <w:spacing w:after="0" w:line="240" w:lineRule="auto"/>
        <w:ind w:left="480" w:hanging="480"/>
        <w:jc w:val="both"/>
        <w:rPr>
          <w:rFonts w:ascii="Georgia" w:hAnsi="Georgia" w:cs="Times New Roman"/>
          <w:noProof/>
          <w:szCs w:val="24"/>
          <w:lang w:val="en-US"/>
        </w:rPr>
      </w:pPr>
      <w:r w:rsidRPr="00881618">
        <w:rPr>
          <w:rFonts w:ascii="Georgia" w:hAnsi="Georgia"/>
        </w:rPr>
        <w:t>DeVries D L, Mescon IT, Shackman SL 1975. TeamsGames- Tournament in the Elementary Classroom: A Replication (Tech. Rep. No. 190). Baltimore: Johns Hopkins University, Center for Social Organization of Schools.</w:t>
      </w:r>
    </w:p>
    <w:p w14:paraId="46E76D8D"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Dyson, B. (2002). The implementation of cooperative learning in an elementary physical education program. </w:t>
      </w:r>
      <w:r w:rsidRPr="00D94ADC">
        <w:rPr>
          <w:rFonts w:ascii="Georgia" w:hAnsi="Georgia" w:cs="Times New Roman"/>
          <w:i/>
          <w:iCs/>
          <w:noProof/>
          <w:szCs w:val="24"/>
        </w:rPr>
        <w:t>Journal of Teaching in Physical Education</w:t>
      </w:r>
      <w:r w:rsidRPr="00D94ADC">
        <w:rPr>
          <w:rFonts w:ascii="Georgia" w:hAnsi="Georgia" w:cs="Times New Roman"/>
          <w:noProof/>
          <w:szCs w:val="24"/>
        </w:rPr>
        <w:t xml:space="preserve">, </w:t>
      </w:r>
      <w:r w:rsidRPr="00D94ADC">
        <w:rPr>
          <w:rFonts w:ascii="Georgia" w:hAnsi="Georgia" w:cs="Times New Roman"/>
          <w:i/>
          <w:iCs/>
          <w:noProof/>
          <w:szCs w:val="24"/>
        </w:rPr>
        <w:t>22</w:t>
      </w:r>
      <w:r w:rsidRPr="00D94ADC">
        <w:rPr>
          <w:rFonts w:ascii="Georgia" w:hAnsi="Georgia" w:cs="Times New Roman"/>
          <w:noProof/>
          <w:szCs w:val="24"/>
        </w:rPr>
        <w:t>(1), 69–85. https://doi.org/10.1123/jtpe.22.1.69</w:t>
      </w:r>
    </w:p>
    <w:p w14:paraId="37628D2B"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Engels, E. S., &amp; Freund, P. A. (2020). Effects of cooperative games on enjoyment in physical education—How to increase positive experiences in students? </w:t>
      </w:r>
      <w:r w:rsidRPr="00D94ADC">
        <w:rPr>
          <w:rFonts w:ascii="Georgia" w:hAnsi="Georgia" w:cs="Times New Roman"/>
          <w:i/>
          <w:iCs/>
          <w:noProof/>
          <w:szCs w:val="24"/>
        </w:rPr>
        <w:t>PLoS ONE</w:t>
      </w:r>
      <w:r w:rsidRPr="00D94ADC">
        <w:rPr>
          <w:rFonts w:ascii="Georgia" w:hAnsi="Georgia" w:cs="Times New Roman"/>
          <w:noProof/>
          <w:szCs w:val="24"/>
        </w:rPr>
        <w:t xml:space="preserve">, </w:t>
      </w:r>
      <w:r w:rsidRPr="00D94ADC">
        <w:rPr>
          <w:rFonts w:ascii="Georgia" w:hAnsi="Georgia" w:cs="Times New Roman"/>
          <w:i/>
          <w:iCs/>
          <w:noProof/>
          <w:szCs w:val="24"/>
        </w:rPr>
        <w:t>15</w:t>
      </w:r>
      <w:r w:rsidRPr="00D94ADC">
        <w:rPr>
          <w:rFonts w:ascii="Georgia" w:hAnsi="Georgia" w:cs="Times New Roman"/>
          <w:noProof/>
          <w:szCs w:val="24"/>
        </w:rPr>
        <w:t>(12 December), 1–14. https://doi.org/10.1371/journal.pone.0243608</w:t>
      </w:r>
    </w:p>
    <w:p w14:paraId="5ACE8762"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Erbil, D. G., &amp; Kocabaş, A. (2018). Cooperative Learning as a Democratic Learning Method. </w:t>
      </w:r>
      <w:r w:rsidRPr="00D94ADC">
        <w:rPr>
          <w:rFonts w:ascii="Georgia" w:hAnsi="Georgia" w:cs="Times New Roman"/>
          <w:i/>
          <w:iCs/>
          <w:noProof/>
          <w:szCs w:val="24"/>
        </w:rPr>
        <w:t>Journal of Research in Childhood Education</w:t>
      </w:r>
      <w:r w:rsidRPr="00D94ADC">
        <w:rPr>
          <w:rFonts w:ascii="Georgia" w:hAnsi="Georgia" w:cs="Times New Roman"/>
          <w:noProof/>
          <w:szCs w:val="24"/>
        </w:rPr>
        <w:t xml:space="preserve">, </w:t>
      </w:r>
      <w:r w:rsidRPr="00D94ADC">
        <w:rPr>
          <w:rFonts w:ascii="Georgia" w:hAnsi="Georgia" w:cs="Times New Roman"/>
          <w:i/>
          <w:iCs/>
          <w:noProof/>
          <w:szCs w:val="24"/>
        </w:rPr>
        <w:t>32</w:t>
      </w:r>
      <w:r w:rsidRPr="00D94ADC">
        <w:rPr>
          <w:rFonts w:ascii="Georgia" w:hAnsi="Georgia" w:cs="Times New Roman"/>
          <w:noProof/>
          <w:szCs w:val="24"/>
        </w:rPr>
        <w:t>(1), 81–93. https://doi.org/10.1080/02568543.2017.1385548</w:t>
      </w:r>
    </w:p>
    <w:p w14:paraId="402C8F7F"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Fenanlampir, A., &amp; Mutohir, T. C. (2021). Emotional intelligence and learning outcomes: Study in physical education. </w:t>
      </w:r>
      <w:r w:rsidRPr="00D94ADC">
        <w:rPr>
          <w:rFonts w:ascii="Georgia" w:hAnsi="Georgia" w:cs="Times New Roman"/>
          <w:i/>
          <w:iCs/>
          <w:noProof/>
          <w:szCs w:val="24"/>
        </w:rPr>
        <w:t>Journal Sport Area</w:t>
      </w:r>
      <w:r w:rsidRPr="00D94ADC">
        <w:rPr>
          <w:rFonts w:ascii="Georgia" w:hAnsi="Georgia" w:cs="Times New Roman"/>
          <w:noProof/>
          <w:szCs w:val="24"/>
        </w:rPr>
        <w:t xml:space="preserve">, </w:t>
      </w:r>
      <w:r w:rsidRPr="00D94ADC">
        <w:rPr>
          <w:rFonts w:ascii="Georgia" w:hAnsi="Georgia" w:cs="Times New Roman"/>
          <w:i/>
          <w:iCs/>
          <w:noProof/>
          <w:szCs w:val="24"/>
        </w:rPr>
        <w:t>6</w:t>
      </w:r>
      <w:r w:rsidRPr="00D94ADC">
        <w:rPr>
          <w:rFonts w:ascii="Georgia" w:hAnsi="Georgia" w:cs="Times New Roman"/>
          <w:noProof/>
          <w:szCs w:val="24"/>
        </w:rPr>
        <w:t>(3), 304–314. https://doi.org/10.25299/sportarea.2021.vol6(3).6836</w:t>
      </w:r>
    </w:p>
    <w:p w14:paraId="0889CD43"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Ferguson, C. J., &amp; Olson, C. K. (2013). Friends, fun, frustration and fantasy: Child motivations for video game play. </w:t>
      </w:r>
      <w:r w:rsidRPr="00D94ADC">
        <w:rPr>
          <w:rFonts w:ascii="Georgia" w:hAnsi="Georgia" w:cs="Times New Roman"/>
          <w:i/>
          <w:iCs/>
          <w:noProof/>
          <w:szCs w:val="24"/>
        </w:rPr>
        <w:t>Motivation and Emotion</w:t>
      </w:r>
      <w:r w:rsidRPr="00D94ADC">
        <w:rPr>
          <w:rFonts w:ascii="Georgia" w:hAnsi="Georgia" w:cs="Times New Roman"/>
          <w:noProof/>
          <w:szCs w:val="24"/>
        </w:rPr>
        <w:t xml:space="preserve">, </w:t>
      </w:r>
      <w:r w:rsidRPr="00D94ADC">
        <w:rPr>
          <w:rFonts w:ascii="Georgia" w:hAnsi="Georgia" w:cs="Times New Roman"/>
          <w:i/>
          <w:iCs/>
          <w:noProof/>
          <w:szCs w:val="24"/>
        </w:rPr>
        <w:t>37</w:t>
      </w:r>
      <w:r w:rsidRPr="00D94ADC">
        <w:rPr>
          <w:rFonts w:ascii="Georgia" w:hAnsi="Georgia" w:cs="Times New Roman"/>
          <w:noProof/>
          <w:szCs w:val="24"/>
        </w:rPr>
        <w:t>(1), 154–164. https://doi.org/10.1007/s11031-012-9284-7</w:t>
      </w:r>
    </w:p>
    <w:p w14:paraId="299439D0"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Fernandez-Rio, J., Sanz, N., Fernandez-Cando, J., &amp; Santos, L. (2017). Impact of a sustained Cooperative Learning intervention on student motivation. </w:t>
      </w:r>
      <w:r w:rsidRPr="00D94ADC">
        <w:rPr>
          <w:rFonts w:ascii="Georgia" w:hAnsi="Georgia" w:cs="Times New Roman"/>
          <w:i/>
          <w:iCs/>
          <w:noProof/>
          <w:szCs w:val="24"/>
        </w:rPr>
        <w:t>Physical Education and Sport Pedagogy</w:t>
      </w:r>
      <w:r w:rsidRPr="00D94ADC">
        <w:rPr>
          <w:rFonts w:ascii="Georgia" w:hAnsi="Georgia" w:cs="Times New Roman"/>
          <w:noProof/>
          <w:szCs w:val="24"/>
        </w:rPr>
        <w:t xml:space="preserve">, </w:t>
      </w:r>
      <w:r w:rsidRPr="00D94ADC">
        <w:rPr>
          <w:rFonts w:ascii="Georgia" w:hAnsi="Georgia" w:cs="Times New Roman"/>
          <w:i/>
          <w:iCs/>
          <w:noProof/>
          <w:szCs w:val="24"/>
        </w:rPr>
        <w:t>22</w:t>
      </w:r>
      <w:r w:rsidRPr="00D94ADC">
        <w:rPr>
          <w:rFonts w:ascii="Georgia" w:hAnsi="Georgia" w:cs="Times New Roman"/>
          <w:noProof/>
          <w:szCs w:val="24"/>
        </w:rPr>
        <w:t>(1), 89–105. https://doi.org/10.1080/17408989.2015.1123238</w:t>
      </w:r>
    </w:p>
    <w:p w14:paraId="367ABC6D"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Goodyear, V. A., Casey, A., &amp; Kirk, D. (2014). Hiding behind the camera: Social learning within the </w:t>
      </w:r>
      <w:r w:rsidRPr="00D94ADC">
        <w:rPr>
          <w:rFonts w:ascii="Georgia" w:hAnsi="Georgia" w:cs="Times New Roman"/>
          <w:noProof/>
          <w:szCs w:val="24"/>
        </w:rPr>
        <w:lastRenderedPageBreak/>
        <w:t xml:space="preserve">Cooperative Learning Model to engage girls in physical education. </w:t>
      </w:r>
      <w:r w:rsidRPr="00D94ADC">
        <w:rPr>
          <w:rFonts w:ascii="Georgia" w:hAnsi="Georgia" w:cs="Times New Roman"/>
          <w:i/>
          <w:iCs/>
          <w:noProof/>
          <w:szCs w:val="24"/>
        </w:rPr>
        <w:t>Sport, Education and Society</w:t>
      </w:r>
      <w:r w:rsidRPr="00D94ADC">
        <w:rPr>
          <w:rFonts w:ascii="Georgia" w:hAnsi="Georgia" w:cs="Times New Roman"/>
          <w:noProof/>
          <w:szCs w:val="24"/>
        </w:rPr>
        <w:t xml:space="preserve">, </w:t>
      </w:r>
      <w:r w:rsidRPr="00D94ADC">
        <w:rPr>
          <w:rFonts w:ascii="Georgia" w:hAnsi="Georgia" w:cs="Times New Roman"/>
          <w:i/>
          <w:iCs/>
          <w:noProof/>
          <w:szCs w:val="24"/>
        </w:rPr>
        <w:t>19</w:t>
      </w:r>
      <w:r w:rsidRPr="00D94ADC">
        <w:rPr>
          <w:rFonts w:ascii="Georgia" w:hAnsi="Georgia" w:cs="Times New Roman"/>
          <w:noProof/>
          <w:szCs w:val="24"/>
        </w:rPr>
        <w:t>(6), 712–734. https://doi.org/10.1080/13573322.2012.707124</w:t>
      </w:r>
    </w:p>
    <w:p w14:paraId="1D9B6F9A"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Gossett, M., &amp; Fischer, O. (2005). Bringing Together Critical Thinking and Cooperative Learning Between Two Schools. </w:t>
      </w:r>
      <w:r w:rsidRPr="00D94ADC">
        <w:rPr>
          <w:rFonts w:ascii="Georgia" w:hAnsi="Georgia" w:cs="Times New Roman"/>
          <w:i/>
          <w:iCs/>
          <w:noProof/>
          <w:szCs w:val="24"/>
        </w:rPr>
        <w:t>Strategies</w:t>
      </w:r>
      <w:r w:rsidRPr="00D94ADC">
        <w:rPr>
          <w:rFonts w:ascii="Georgia" w:hAnsi="Georgia" w:cs="Times New Roman"/>
          <w:noProof/>
          <w:szCs w:val="24"/>
        </w:rPr>
        <w:t xml:space="preserve">, </w:t>
      </w:r>
      <w:r w:rsidRPr="00D94ADC">
        <w:rPr>
          <w:rFonts w:ascii="Georgia" w:hAnsi="Georgia" w:cs="Times New Roman"/>
          <w:i/>
          <w:iCs/>
          <w:noProof/>
          <w:szCs w:val="24"/>
        </w:rPr>
        <w:t>19</w:t>
      </w:r>
      <w:r w:rsidRPr="00D94ADC">
        <w:rPr>
          <w:rFonts w:ascii="Georgia" w:hAnsi="Georgia" w:cs="Times New Roman"/>
          <w:noProof/>
          <w:szCs w:val="24"/>
        </w:rPr>
        <w:t>(2), 27–30. https://doi.org/10.1080/08924562.2005.10591181</w:t>
      </w:r>
    </w:p>
    <w:p w14:paraId="6F151DCA"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Groffik, D., Mitáš, J., Jakubec, L., Svozil, Z., &amp; Frömel, K. (2020). Adolescents’ Physical Activity in Education Systems Varying in the Number of Weekly Physical Education Lessons. </w:t>
      </w:r>
      <w:r w:rsidRPr="00D94ADC">
        <w:rPr>
          <w:rFonts w:ascii="Georgia" w:hAnsi="Georgia" w:cs="Times New Roman"/>
          <w:i/>
          <w:iCs/>
          <w:noProof/>
          <w:szCs w:val="24"/>
        </w:rPr>
        <w:t>Research Quarterly for Exercise and Sport</w:t>
      </w:r>
      <w:r w:rsidRPr="00D94ADC">
        <w:rPr>
          <w:rFonts w:ascii="Georgia" w:hAnsi="Georgia" w:cs="Times New Roman"/>
          <w:noProof/>
          <w:szCs w:val="24"/>
        </w:rPr>
        <w:t xml:space="preserve">, </w:t>
      </w:r>
      <w:r w:rsidRPr="00D94ADC">
        <w:rPr>
          <w:rFonts w:ascii="Georgia" w:hAnsi="Georgia" w:cs="Times New Roman"/>
          <w:i/>
          <w:iCs/>
          <w:noProof/>
          <w:szCs w:val="24"/>
        </w:rPr>
        <w:t>91</w:t>
      </w:r>
      <w:r w:rsidRPr="00D94ADC">
        <w:rPr>
          <w:rFonts w:ascii="Georgia" w:hAnsi="Georgia" w:cs="Times New Roman"/>
          <w:noProof/>
          <w:szCs w:val="24"/>
        </w:rPr>
        <w:t>(4), 551–561. https://doi.org/10.1080/02701367.2019.1688754</w:t>
      </w:r>
    </w:p>
    <w:p w14:paraId="1824CD17"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He, J., Barrera-Pedemonte, F., &amp; Buchholz, J. (2019). Cross-cultural comparability of noncognitive constructs in TIMSS and PISA. </w:t>
      </w:r>
      <w:r w:rsidRPr="00D94ADC">
        <w:rPr>
          <w:rFonts w:ascii="Georgia" w:hAnsi="Georgia" w:cs="Times New Roman"/>
          <w:i/>
          <w:iCs/>
          <w:noProof/>
          <w:szCs w:val="24"/>
        </w:rPr>
        <w:t>Assessment in Education: Principles, Policy and Practice</w:t>
      </w:r>
      <w:r w:rsidRPr="00D94ADC">
        <w:rPr>
          <w:rFonts w:ascii="Georgia" w:hAnsi="Georgia" w:cs="Times New Roman"/>
          <w:noProof/>
          <w:szCs w:val="24"/>
        </w:rPr>
        <w:t xml:space="preserve">, </w:t>
      </w:r>
      <w:r w:rsidRPr="00D94ADC">
        <w:rPr>
          <w:rFonts w:ascii="Georgia" w:hAnsi="Georgia" w:cs="Times New Roman"/>
          <w:i/>
          <w:iCs/>
          <w:noProof/>
          <w:szCs w:val="24"/>
        </w:rPr>
        <w:t>26</w:t>
      </w:r>
      <w:r w:rsidRPr="00D94ADC">
        <w:rPr>
          <w:rFonts w:ascii="Georgia" w:hAnsi="Georgia" w:cs="Times New Roman"/>
          <w:noProof/>
          <w:szCs w:val="24"/>
        </w:rPr>
        <w:t>(4), 369–385. https://doi.org/10.1080/0969594X.2018.1469467</w:t>
      </w:r>
    </w:p>
    <w:p w14:paraId="56DCA4D3"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Healy, M., Doran, J., &amp; McCutcheon, M. (2018). Cooperative learning outcomes from cumulative experiences of group work: differences in student perceptions. </w:t>
      </w:r>
      <w:r w:rsidRPr="00D94ADC">
        <w:rPr>
          <w:rFonts w:ascii="Georgia" w:hAnsi="Georgia" w:cs="Times New Roman"/>
          <w:i/>
          <w:iCs/>
          <w:noProof/>
          <w:szCs w:val="24"/>
        </w:rPr>
        <w:t>Accounting Education</w:t>
      </w:r>
      <w:r w:rsidRPr="00D94ADC">
        <w:rPr>
          <w:rFonts w:ascii="Georgia" w:hAnsi="Georgia" w:cs="Times New Roman"/>
          <w:noProof/>
          <w:szCs w:val="24"/>
        </w:rPr>
        <w:t xml:space="preserve">, </w:t>
      </w:r>
      <w:r w:rsidRPr="00D94ADC">
        <w:rPr>
          <w:rFonts w:ascii="Georgia" w:hAnsi="Georgia" w:cs="Times New Roman"/>
          <w:i/>
          <w:iCs/>
          <w:noProof/>
          <w:szCs w:val="24"/>
        </w:rPr>
        <w:t>27</w:t>
      </w:r>
      <w:r w:rsidRPr="00D94ADC">
        <w:rPr>
          <w:rFonts w:ascii="Georgia" w:hAnsi="Georgia" w:cs="Times New Roman"/>
          <w:noProof/>
          <w:szCs w:val="24"/>
        </w:rPr>
        <w:t>(3), 286–308. https://doi.org/10.1080/09639284.2018.1476893</w:t>
      </w:r>
    </w:p>
    <w:p w14:paraId="69AC18B4"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Hennebry, M. L., &amp; Fordyce, K. (2018). Cooperative learning on an international masters. </w:t>
      </w:r>
      <w:r w:rsidRPr="00D94ADC">
        <w:rPr>
          <w:rFonts w:ascii="Georgia" w:hAnsi="Georgia" w:cs="Times New Roman"/>
          <w:i/>
          <w:iCs/>
          <w:noProof/>
          <w:szCs w:val="24"/>
        </w:rPr>
        <w:t>Higher Education Research and Development</w:t>
      </w:r>
      <w:r w:rsidRPr="00D94ADC">
        <w:rPr>
          <w:rFonts w:ascii="Georgia" w:hAnsi="Georgia" w:cs="Times New Roman"/>
          <w:noProof/>
          <w:szCs w:val="24"/>
        </w:rPr>
        <w:t xml:space="preserve">, </w:t>
      </w:r>
      <w:r w:rsidRPr="00D94ADC">
        <w:rPr>
          <w:rFonts w:ascii="Georgia" w:hAnsi="Georgia" w:cs="Times New Roman"/>
          <w:i/>
          <w:iCs/>
          <w:noProof/>
          <w:szCs w:val="24"/>
        </w:rPr>
        <w:t>37</w:t>
      </w:r>
      <w:r w:rsidRPr="00D94ADC">
        <w:rPr>
          <w:rFonts w:ascii="Georgia" w:hAnsi="Georgia" w:cs="Times New Roman"/>
          <w:noProof/>
          <w:szCs w:val="24"/>
        </w:rPr>
        <w:t>(2), 270–284. https://doi.org/10.1080/07294360.2017.1359150</w:t>
      </w:r>
    </w:p>
    <w:p w14:paraId="0A3C9A5E"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Hills, A. P., King, N. A., &amp; Armstrong, T. P. (2007). Contribution of physical activity and sendentary bahaviours to the growth and development of children and adolescents. </w:t>
      </w:r>
      <w:r w:rsidRPr="00D94ADC">
        <w:rPr>
          <w:rFonts w:ascii="Georgia" w:hAnsi="Georgia" w:cs="Times New Roman"/>
          <w:i/>
          <w:iCs/>
          <w:noProof/>
          <w:szCs w:val="24"/>
        </w:rPr>
        <w:t>Sports Medicine</w:t>
      </w:r>
      <w:r w:rsidRPr="00D94ADC">
        <w:rPr>
          <w:rFonts w:ascii="Georgia" w:hAnsi="Georgia" w:cs="Times New Roman"/>
          <w:noProof/>
          <w:szCs w:val="24"/>
        </w:rPr>
        <w:t xml:space="preserve">, </w:t>
      </w:r>
      <w:r w:rsidRPr="00D94ADC">
        <w:rPr>
          <w:rFonts w:ascii="Georgia" w:hAnsi="Georgia" w:cs="Times New Roman"/>
          <w:i/>
          <w:iCs/>
          <w:noProof/>
          <w:szCs w:val="24"/>
        </w:rPr>
        <w:t>37</w:t>
      </w:r>
      <w:r w:rsidRPr="00D94ADC">
        <w:rPr>
          <w:rFonts w:ascii="Georgia" w:hAnsi="Georgia" w:cs="Times New Roman"/>
          <w:noProof/>
          <w:szCs w:val="24"/>
        </w:rPr>
        <w:t>(6), 533–545. https://link.springer.com/article/10.2165/00007256-200737060-00006</w:t>
      </w:r>
    </w:p>
    <w:p w14:paraId="51FACDFB"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Holmlund, H., &amp; Silva, O. (2014). Targeting Noncognitive Skills to Improve Cognitive Outcomes: Evidence from a Remedial Education Intervention. </w:t>
      </w:r>
      <w:r w:rsidRPr="00D94ADC">
        <w:rPr>
          <w:rFonts w:ascii="Georgia" w:hAnsi="Georgia" w:cs="Times New Roman"/>
          <w:i/>
          <w:iCs/>
          <w:noProof/>
          <w:szCs w:val="24"/>
        </w:rPr>
        <w:t>Journal of Human Capital</w:t>
      </w:r>
      <w:r w:rsidRPr="00D94ADC">
        <w:rPr>
          <w:rFonts w:ascii="Georgia" w:hAnsi="Georgia" w:cs="Times New Roman"/>
          <w:noProof/>
          <w:szCs w:val="24"/>
        </w:rPr>
        <w:t xml:space="preserve">, </w:t>
      </w:r>
      <w:r w:rsidRPr="00D94ADC">
        <w:rPr>
          <w:rFonts w:ascii="Georgia" w:hAnsi="Georgia" w:cs="Times New Roman"/>
          <w:i/>
          <w:iCs/>
          <w:noProof/>
          <w:szCs w:val="24"/>
        </w:rPr>
        <w:t>8</w:t>
      </w:r>
      <w:r w:rsidRPr="00D94ADC">
        <w:rPr>
          <w:rFonts w:ascii="Georgia" w:hAnsi="Georgia" w:cs="Times New Roman"/>
          <w:noProof/>
          <w:szCs w:val="24"/>
        </w:rPr>
        <w:t>(2), 126–160. https://doi.org/10.1086/676460</w:t>
      </w:r>
    </w:p>
    <w:p w14:paraId="1DBCFB1D"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Hortigüela Alcalá, D., &amp; Hernando Garijo, A. (2017). Teaching Games for Understanding: A Comprehensive Approach to Promote Student’s Motivation in Physical Education. </w:t>
      </w:r>
      <w:r w:rsidRPr="00D94ADC">
        <w:rPr>
          <w:rFonts w:ascii="Georgia" w:hAnsi="Georgia" w:cs="Times New Roman"/>
          <w:i/>
          <w:iCs/>
          <w:noProof/>
          <w:szCs w:val="24"/>
        </w:rPr>
        <w:t>Journal of Human Kinetics</w:t>
      </w:r>
      <w:r w:rsidRPr="00D94ADC">
        <w:rPr>
          <w:rFonts w:ascii="Georgia" w:hAnsi="Georgia" w:cs="Times New Roman"/>
          <w:noProof/>
          <w:szCs w:val="24"/>
        </w:rPr>
        <w:t xml:space="preserve">, </w:t>
      </w:r>
      <w:r w:rsidRPr="00D94ADC">
        <w:rPr>
          <w:rFonts w:ascii="Georgia" w:hAnsi="Georgia" w:cs="Times New Roman"/>
          <w:i/>
          <w:iCs/>
          <w:noProof/>
          <w:szCs w:val="24"/>
        </w:rPr>
        <w:t>59</w:t>
      </w:r>
      <w:r w:rsidRPr="00D94ADC">
        <w:rPr>
          <w:rFonts w:ascii="Georgia" w:hAnsi="Georgia" w:cs="Times New Roman"/>
          <w:noProof/>
          <w:szCs w:val="24"/>
        </w:rPr>
        <w:t>(1), 17–27. https://doi.org/10.1515/hukin-2017-0144</w:t>
      </w:r>
    </w:p>
    <w:p w14:paraId="75FA54B5"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Hüffmeier, J., Filusch, M., Hertel, G., Mojzisch, A., &amp; Krumm, S. (2017). On the boundary conditions of effort losses and effort gains in action teams. </w:t>
      </w:r>
      <w:r w:rsidRPr="00D94ADC">
        <w:rPr>
          <w:rFonts w:ascii="Georgia" w:hAnsi="Georgia" w:cs="Times New Roman"/>
          <w:i/>
          <w:iCs/>
          <w:noProof/>
          <w:szCs w:val="24"/>
        </w:rPr>
        <w:t>Journal of Applied Psychology</w:t>
      </w:r>
      <w:r w:rsidRPr="00D94ADC">
        <w:rPr>
          <w:rFonts w:ascii="Georgia" w:hAnsi="Georgia" w:cs="Times New Roman"/>
          <w:noProof/>
          <w:szCs w:val="24"/>
        </w:rPr>
        <w:t xml:space="preserve">, </w:t>
      </w:r>
      <w:r w:rsidRPr="00D94ADC">
        <w:rPr>
          <w:rFonts w:ascii="Georgia" w:hAnsi="Georgia" w:cs="Times New Roman"/>
          <w:i/>
          <w:iCs/>
          <w:noProof/>
          <w:szCs w:val="24"/>
        </w:rPr>
        <w:t>102</w:t>
      </w:r>
      <w:r w:rsidRPr="00D94ADC">
        <w:rPr>
          <w:rFonts w:ascii="Georgia" w:hAnsi="Georgia" w:cs="Times New Roman"/>
          <w:noProof/>
          <w:szCs w:val="24"/>
        </w:rPr>
        <w:t>(12), 1673–1685. https://doi.org/10.1037/apl0000245</w:t>
      </w:r>
    </w:p>
    <w:p w14:paraId="4CE51B27" w14:textId="77777777" w:rsidR="00881618" w:rsidRDefault="00D94ADC" w:rsidP="00881618">
      <w:pPr>
        <w:widowControl w:val="0"/>
        <w:autoSpaceDE w:val="0"/>
        <w:autoSpaceDN w:val="0"/>
        <w:adjustRightInd w:val="0"/>
        <w:spacing w:after="0" w:line="240" w:lineRule="auto"/>
        <w:ind w:left="480" w:hanging="480"/>
        <w:jc w:val="both"/>
        <w:rPr>
          <w:rFonts w:ascii="Georgia" w:hAnsi="Georgia" w:cs="Times New Roman"/>
          <w:noProof/>
          <w:szCs w:val="24"/>
          <w:lang w:val="en-US"/>
        </w:rPr>
      </w:pPr>
      <w:r w:rsidRPr="00D94ADC">
        <w:rPr>
          <w:rFonts w:ascii="Georgia" w:hAnsi="Georgia" w:cs="Times New Roman"/>
          <w:noProof/>
          <w:szCs w:val="24"/>
        </w:rPr>
        <w:t xml:space="preserve">Hunter, W. C., Dieker, L. A., &amp; Whitney, T. (2016). Consultants and Coteachers Affecting Student Outcomes with Numbered Heads Together: Keeping All Engaged. </w:t>
      </w:r>
      <w:r w:rsidRPr="00D94ADC">
        <w:rPr>
          <w:rFonts w:ascii="Georgia" w:hAnsi="Georgia" w:cs="Times New Roman"/>
          <w:i/>
          <w:iCs/>
          <w:noProof/>
          <w:szCs w:val="24"/>
        </w:rPr>
        <w:t>Journal of Educational and Psychological Consultation</w:t>
      </w:r>
      <w:r w:rsidRPr="00D94ADC">
        <w:rPr>
          <w:rFonts w:ascii="Georgia" w:hAnsi="Georgia" w:cs="Times New Roman"/>
          <w:noProof/>
          <w:szCs w:val="24"/>
        </w:rPr>
        <w:t xml:space="preserve">, </w:t>
      </w:r>
      <w:r w:rsidRPr="00D94ADC">
        <w:rPr>
          <w:rFonts w:ascii="Georgia" w:hAnsi="Georgia" w:cs="Times New Roman"/>
          <w:i/>
          <w:iCs/>
          <w:noProof/>
          <w:szCs w:val="24"/>
        </w:rPr>
        <w:t>26</w:t>
      </w:r>
      <w:r w:rsidRPr="00D94ADC">
        <w:rPr>
          <w:rFonts w:ascii="Georgia" w:hAnsi="Georgia" w:cs="Times New Roman"/>
          <w:noProof/>
          <w:szCs w:val="24"/>
        </w:rPr>
        <w:t>(2), 186–199. https://doi.org/10.1080/10474412.2015.1108200</w:t>
      </w:r>
    </w:p>
    <w:p w14:paraId="12240959" w14:textId="34EF6A91" w:rsidR="00881618" w:rsidRPr="00881618" w:rsidRDefault="00881618" w:rsidP="00881618">
      <w:pPr>
        <w:widowControl w:val="0"/>
        <w:autoSpaceDE w:val="0"/>
        <w:autoSpaceDN w:val="0"/>
        <w:adjustRightInd w:val="0"/>
        <w:spacing w:after="0" w:line="240" w:lineRule="auto"/>
        <w:ind w:left="480" w:hanging="480"/>
        <w:jc w:val="both"/>
        <w:rPr>
          <w:rFonts w:ascii="Georgia" w:hAnsi="Georgia" w:cs="Times New Roman"/>
          <w:noProof/>
          <w:szCs w:val="24"/>
          <w:lang w:val="en-US"/>
        </w:rPr>
      </w:pPr>
      <w:r w:rsidRPr="00881618">
        <w:rPr>
          <w:rFonts w:ascii="Georgia" w:hAnsi="Georgia"/>
        </w:rPr>
        <w:t>Johnson, D.</w:t>
      </w:r>
      <w:r w:rsidRPr="00881618">
        <w:rPr>
          <w:rFonts w:ascii="Georgia" w:hAnsi="Georgia"/>
          <w:lang w:val="en-US"/>
        </w:rPr>
        <w:t>,</w:t>
      </w:r>
      <w:r w:rsidRPr="00881618">
        <w:rPr>
          <w:rFonts w:ascii="Georgia" w:hAnsi="Georgia"/>
        </w:rPr>
        <w:t xml:space="preserve"> </w:t>
      </w:r>
      <w:proofErr w:type="gramStart"/>
      <w:r w:rsidRPr="00881618">
        <w:rPr>
          <w:rFonts w:ascii="Georgia" w:hAnsi="Georgia"/>
          <w:lang w:val="en-US"/>
        </w:rPr>
        <w:t xml:space="preserve">&amp; </w:t>
      </w:r>
      <w:r w:rsidRPr="00881618">
        <w:rPr>
          <w:rFonts w:ascii="Georgia" w:hAnsi="Georgia"/>
        </w:rPr>
        <w:t xml:space="preserve">Johnson, R. </w:t>
      </w:r>
      <w:r w:rsidRPr="00881618">
        <w:rPr>
          <w:rFonts w:ascii="Georgia" w:hAnsi="Georgia"/>
          <w:lang w:val="en-US"/>
        </w:rPr>
        <w:t>(1994).</w:t>
      </w:r>
      <w:proofErr w:type="gramEnd"/>
      <w:r w:rsidRPr="00881618">
        <w:rPr>
          <w:rFonts w:ascii="Georgia" w:hAnsi="Georgia"/>
          <w:lang w:val="en-US"/>
        </w:rPr>
        <w:t xml:space="preserve"> </w:t>
      </w:r>
      <w:r w:rsidRPr="00881618">
        <w:rPr>
          <w:rFonts w:ascii="Georgia" w:hAnsi="Georgia"/>
          <w:i/>
        </w:rPr>
        <w:t>Learning Together and Alone: Cooperative, Competitive, and Individualistic Learning</w:t>
      </w:r>
      <w:r w:rsidRPr="00881618">
        <w:rPr>
          <w:rFonts w:ascii="Georgia" w:hAnsi="Georgia"/>
        </w:rPr>
        <w:t>, 4th ed.; Ally</w:t>
      </w:r>
      <w:r w:rsidRPr="00881618">
        <w:rPr>
          <w:rFonts w:ascii="Georgia" w:hAnsi="Georgia"/>
        </w:rPr>
        <w:t>n &amp; Bacon: Boston, MA, USA</w:t>
      </w:r>
      <w:r w:rsidRPr="00881618">
        <w:rPr>
          <w:rFonts w:ascii="Georgia" w:hAnsi="Georgia"/>
          <w:lang w:val="en-US"/>
        </w:rPr>
        <w:t>.</w:t>
      </w:r>
    </w:p>
    <w:p w14:paraId="46D10AC8" w14:textId="007539A0" w:rsidR="00881618" w:rsidRPr="00881618" w:rsidRDefault="00881618" w:rsidP="00881618">
      <w:pPr>
        <w:spacing w:after="0" w:line="240" w:lineRule="auto"/>
        <w:jc w:val="both"/>
        <w:rPr>
          <w:rFonts w:ascii="Georgia" w:hAnsi="Georgia" w:cs="AdvTT3713a231"/>
          <w:color w:val="141314"/>
          <w:lang w:val="en-US"/>
        </w:rPr>
      </w:pPr>
      <w:proofErr w:type="gramStart"/>
      <w:r w:rsidRPr="00881618">
        <w:rPr>
          <w:rFonts w:ascii="Georgia" w:hAnsi="Georgia" w:cs="AdvTT3713a231"/>
          <w:color w:val="141314"/>
          <w:lang w:val="en-US"/>
        </w:rPr>
        <w:t>Kagan, S. (1992).</w:t>
      </w:r>
      <w:proofErr w:type="gramEnd"/>
      <w:r w:rsidRPr="00881618">
        <w:rPr>
          <w:rFonts w:ascii="Georgia" w:hAnsi="Georgia" w:cs="AdvTT3713a231"/>
          <w:color w:val="141314"/>
          <w:lang w:val="en-US"/>
        </w:rPr>
        <w:t xml:space="preserve"> </w:t>
      </w:r>
      <w:proofErr w:type="gramStart"/>
      <w:r w:rsidRPr="00881618">
        <w:rPr>
          <w:rFonts w:ascii="Georgia" w:hAnsi="Georgia" w:cs="AdvTT50a2f13e.I"/>
          <w:i/>
          <w:color w:val="141314"/>
          <w:lang w:val="en-US"/>
        </w:rPr>
        <w:t>Cooperative learning</w:t>
      </w:r>
      <w:r w:rsidRPr="00881618">
        <w:rPr>
          <w:rFonts w:ascii="Georgia" w:hAnsi="Georgia" w:cs="AdvTT3713a231"/>
          <w:color w:val="141314"/>
          <w:lang w:val="en-US"/>
        </w:rPr>
        <w:t>.</w:t>
      </w:r>
      <w:proofErr w:type="gramEnd"/>
      <w:r w:rsidRPr="00881618">
        <w:rPr>
          <w:rFonts w:ascii="Georgia" w:hAnsi="Georgia" w:cs="AdvTT3713a231"/>
          <w:color w:val="141314"/>
          <w:lang w:val="en-US"/>
        </w:rPr>
        <w:t xml:space="preserve"> Paseo Espada: Resources for Teache</w:t>
      </w:r>
      <w:r w:rsidRPr="00881618">
        <w:rPr>
          <w:rFonts w:ascii="Georgia" w:hAnsi="Georgia" w:cs="AdvTT3713a231"/>
          <w:color w:val="141314"/>
          <w:lang w:val="en-US"/>
        </w:rPr>
        <w:t>rs, Inc.</w:t>
      </w:r>
    </w:p>
    <w:p w14:paraId="0B72F9CE"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Ke, F. (2008). Computer games application within alternative classroom goal structures: Cognitive, metacognitive, and affective evaluation. </w:t>
      </w:r>
      <w:r w:rsidRPr="00D94ADC">
        <w:rPr>
          <w:rFonts w:ascii="Georgia" w:hAnsi="Georgia" w:cs="Times New Roman"/>
          <w:i/>
          <w:iCs/>
          <w:noProof/>
          <w:szCs w:val="24"/>
        </w:rPr>
        <w:t>Educational Technology Research and Development</w:t>
      </w:r>
      <w:r w:rsidRPr="00D94ADC">
        <w:rPr>
          <w:rFonts w:ascii="Georgia" w:hAnsi="Georgia" w:cs="Times New Roman"/>
          <w:noProof/>
          <w:szCs w:val="24"/>
        </w:rPr>
        <w:t xml:space="preserve">, </w:t>
      </w:r>
      <w:r w:rsidRPr="00D94ADC">
        <w:rPr>
          <w:rFonts w:ascii="Georgia" w:hAnsi="Georgia" w:cs="Times New Roman"/>
          <w:i/>
          <w:iCs/>
          <w:noProof/>
          <w:szCs w:val="24"/>
        </w:rPr>
        <w:t>56</w:t>
      </w:r>
      <w:r w:rsidRPr="00D94ADC">
        <w:rPr>
          <w:rFonts w:ascii="Georgia" w:hAnsi="Georgia" w:cs="Times New Roman"/>
          <w:noProof/>
          <w:szCs w:val="24"/>
        </w:rPr>
        <w:t>(5–6), 539–556. https://doi.org/10.1007/s11423-008-9086-5</w:t>
      </w:r>
    </w:p>
    <w:p w14:paraId="54E61014"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Kirk, D. (2013). Educational Value and Models-Based Practice in Physical Education. </w:t>
      </w:r>
      <w:r w:rsidRPr="00D94ADC">
        <w:rPr>
          <w:rFonts w:ascii="Georgia" w:hAnsi="Georgia" w:cs="Times New Roman"/>
          <w:i/>
          <w:iCs/>
          <w:noProof/>
          <w:szCs w:val="24"/>
        </w:rPr>
        <w:t>Educational Philosophy and Theory</w:t>
      </w:r>
      <w:r w:rsidRPr="00D94ADC">
        <w:rPr>
          <w:rFonts w:ascii="Georgia" w:hAnsi="Georgia" w:cs="Times New Roman"/>
          <w:noProof/>
          <w:szCs w:val="24"/>
        </w:rPr>
        <w:t xml:space="preserve">, </w:t>
      </w:r>
      <w:r w:rsidRPr="00D94ADC">
        <w:rPr>
          <w:rFonts w:ascii="Georgia" w:hAnsi="Georgia" w:cs="Times New Roman"/>
          <w:i/>
          <w:iCs/>
          <w:noProof/>
          <w:szCs w:val="24"/>
        </w:rPr>
        <w:t>45</w:t>
      </w:r>
      <w:r w:rsidRPr="00D94ADC">
        <w:rPr>
          <w:rFonts w:ascii="Georgia" w:hAnsi="Georgia" w:cs="Times New Roman"/>
          <w:noProof/>
          <w:szCs w:val="24"/>
        </w:rPr>
        <w:t>(9), 973–986. https://doi.org/10.1080/00131857.2013.785352</w:t>
      </w:r>
    </w:p>
    <w:p w14:paraId="1903AA9B"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Knaeps, S., Bourgois, J. G., Charlier, R., Mertens, E., &amp; Lefevre, J. (2017). Associations between physical activity and health-related fitness–volume versus pattern. </w:t>
      </w:r>
      <w:r w:rsidRPr="00D94ADC">
        <w:rPr>
          <w:rFonts w:ascii="Georgia" w:hAnsi="Georgia" w:cs="Times New Roman"/>
          <w:i/>
          <w:iCs/>
          <w:noProof/>
          <w:szCs w:val="24"/>
        </w:rPr>
        <w:t>Journal of Sports Sciences</w:t>
      </w:r>
      <w:r w:rsidRPr="00D94ADC">
        <w:rPr>
          <w:rFonts w:ascii="Georgia" w:hAnsi="Georgia" w:cs="Times New Roman"/>
          <w:noProof/>
          <w:szCs w:val="24"/>
        </w:rPr>
        <w:t xml:space="preserve">, </w:t>
      </w:r>
      <w:r w:rsidRPr="00D94ADC">
        <w:rPr>
          <w:rFonts w:ascii="Georgia" w:hAnsi="Georgia" w:cs="Times New Roman"/>
          <w:i/>
          <w:iCs/>
          <w:noProof/>
          <w:szCs w:val="24"/>
        </w:rPr>
        <w:t>35</w:t>
      </w:r>
      <w:r w:rsidRPr="00D94ADC">
        <w:rPr>
          <w:rFonts w:ascii="Georgia" w:hAnsi="Georgia" w:cs="Times New Roman"/>
          <w:noProof/>
          <w:szCs w:val="24"/>
        </w:rPr>
        <w:t>(6), 539–546. https://doi.org/10.1080/02640414.2016.1178393</w:t>
      </w:r>
    </w:p>
    <w:p w14:paraId="3CB4BFE5"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Kristiansen, S. D., Burner, T., Johnsen, B. H., Dzemidzic, S., Burner, T., Johnsen, B. H., Kristiansen, S. D., Burner, T., &amp; Johnsen, B. H. (2019). Face-to-face promotive interaction leading to successful cooperative learning</w:t>
      </w:r>
      <w:r w:rsidRPr="00D94ADC">
        <w:rPr>
          <w:rFonts w:ascii="Times New Roman" w:hAnsi="Times New Roman" w:cs="Times New Roman"/>
          <w:noProof/>
          <w:szCs w:val="24"/>
        </w:rPr>
        <w:t> </w:t>
      </w:r>
      <w:r w:rsidRPr="00D94ADC">
        <w:rPr>
          <w:rFonts w:ascii="Georgia" w:hAnsi="Georgia" w:cs="Times New Roman"/>
          <w:noProof/>
          <w:szCs w:val="24"/>
        </w:rPr>
        <w:t>: A review study Face-to-face promotive interaction leading to successful cooperative learning</w:t>
      </w:r>
      <w:r w:rsidRPr="00D94ADC">
        <w:rPr>
          <w:rFonts w:ascii="Times New Roman" w:hAnsi="Times New Roman" w:cs="Times New Roman"/>
          <w:noProof/>
          <w:szCs w:val="24"/>
        </w:rPr>
        <w:t> </w:t>
      </w:r>
      <w:r w:rsidRPr="00D94ADC">
        <w:rPr>
          <w:rFonts w:ascii="Georgia" w:hAnsi="Georgia" w:cs="Times New Roman"/>
          <w:noProof/>
          <w:szCs w:val="24"/>
        </w:rPr>
        <w:t xml:space="preserve">: A review study. </w:t>
      </w:r>
      <w:r w:rsidRPr="00D94ADC">
        <w:rPr>
          <w:rFonts w:ascii="Georgia" w:hAnsi="Georgia" w:cs="Times New Roman"/>
          <w:i/>
          <w:iCs/>
          <w:noProof/>
          <w:szCs w:val="24"/>
        </w:rPr>
        <w:t>Cogent Education</w:t>
      </w:r>
      <w:r w:rsidRPr="00D94ADC">
        <w:rPr>
          <w:rFonts w:ascii="Georgia" w:hAnsi="Georgia" w:cs="Times New Roman"/>
          <w:noProof/>
          <w:szCs w:val="24"/>
        </w:rPr>
        <w:t xml:space="preserve">, </w:t>
      </w:r>
      <w:r w:rsidRPr="00D94ADC">
        <w:rPr>
          <w:rFonts w:ascii="Georgia" w:hAnsi="Georgia" w:cs="Times New Roman"/>
          <w:i/>
          <w:iCs/>
          <w:noProof/>
          <w:szCs w:val="24"/>
        </w:rPr>
        <w:t>6</w:t>
      </w:r>
      <w:r w:rsidRPr="00D94ADC">
        <w:rPr>
          <w:rFonts w:ascii="Georgia" w:hAnsi="Georgia" w:cs="Times New Roman"/>
          <w:noProof/>
          <w:szCs w:val="24"/>
        </w:rPr>
        <w:t>(01). https://doi.org/10.1080/2331186X.2019.1674067</w:t>
      </w:r>
    </w:p>
    <w:p w14:paraId="7D3287E2"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Kuiken, F., &amp; Vedder, I. (2021). The interplay between academic writing abilities of Dutch undergraduate students, a remedial writing programme, and academic achievement. </w:t>
      </w:r>
      <w:r w:rsidRPr="00D94ADC">
        <w:rPr>
          <w:rFonts w:ascii="Georgia" w:hAnsi="Georgia" w:cs="Times New Roman"/>
          <w:i/>
          <w:iCs/>
          <w:noProof/>
          <w:szCs w:val="24"/>
        </w:rPr>
        <w:t>International Journal of Bilingual Education and Bilingualism</w:t>
      </w:r>
      <w:r w:rsidRPr="00D94ADC">
        <w:rPr>
          <w:rFonts w:ascii="Georgia" w:hAnsi="Georgia" w:cs="Times New Roman"/>
          <w:noProof/>
          <w:szCs w:val="24"/>
        </w:rPr>
        <w:t xml:space="preserve">, </w:t>
      </w:r>
      <w:r w:rsidRPr="00D94ADC">
        <w:rPr>
          <w:rFonts w:ascii="Georgia" w:hAnsi="Georgia" w:cs="Times New Roman"/>
          <w:i/>
          <w:iCs/>
          <w:noProof/>
          <w:szCs w:val="24"/>
        </w:rPr>
        <w:t>24</w:t>
      </w:r>
      <w:r w:rsidRPr="00D94ADC">
        <w:rPr>
          <w:rFonts w:ascii="Georgia" w:hAnsi="Georgia" w:cs="Times New Roman"/>
          <w:noProof/>
          <w:szCs w:val="24"/>
        </w:rPr>
        <w:t>(10), 1474–1485. https://doi.org/10.1080/13670050.2020.1726280</w:t>
      </w:r>
    </w:p>
    <w:p w14:paraId="1693E530" w14:textId="613178DB" w:rsid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lang w:val="en-US"/>
        </w:rPr>
      </w:pPr>
      <w:r w:rsidRPr="00D94ADC">
        <w:rPr>
          <w:rFonts w:ascii="Georgia" w:hAnsi="Georgia" w:cs="Times New Roman"/>
          <w:noProof/>
          <w:szCs w:val="24"/>
        </w:rPr>
        <w:t xml:space="preserve">Leasa, M., Batlolona, J. R., &amp; Talakua, M. (2021). </w:t>
      </w:r>
      <w:r w:rsidR="008D29EC" w:rsidRPr="008D29EC">
        <w:rPr>
          <w:rFonts w:ascii="Georgia" w:hAnsi="Georgia" w:cs="Times New Roman"/>
          <w:iCs/>
          <w:noProof/>
          <w:szCs w:val="24"/>
        </w:rPr>
        <w:t>Elementary students ’ creative thinking skills in science in the Maluku Islands , Indonesia</w:t>
      </w:r>
      <w:r w:rsidR="008D29EC" w:rsidRPr="008D29EC">
        <w:rPr>
          <w:rFonts w:ascii="Georgia" w:hAnsi="Georgia" w:cs="Times New Roman"/>
          <w:noProof/>
          <w:szCs w:val="24"/>
        </w:rPr>
        <w:t>.</w:t>
      </w:r>
      <w:r w:rsidRPr="00D94ADC">
        <w:rPr>
          <w:rFonts w:ascii="Georgia" w:hAnsi="Georgia" w:cs="Times New Roman"/>
          <w:noProof/>
          <w:szCs w:val="24"/>
        </w:rPr>
        <w:t xml:space="preserve"> </w:t>
      </w:r>
      <w:r w:rsidR="008D29EC" w:rsidRPr="008D29EC">
        <w:rPr>
          <w:rFonts w:ascii="Georgia" w:hAnsi="Georgia" w:cs="Times New Roman"/>
          <w:i/>
          <w:noProof/>
          <w:szCs w:val="24"/>
          <w:lang w:val="en-US"/>
        </w:rPr>
        <w:t>Creativity Studies</w:t>
      </w:r>
      <w:r w:rsidR="008D29EC">
        <w:rPr>
          <w:rFonts w:ascii="Georgia" w:hAnsi="Georgia" w:cs="Times New Roman"/>
          <w:noProof/>
          <w:szCs w:val="24"/>
          <w:lang w:val="en-US"/>
        </w:rPr>
        <w:t xml:space="preserve">, </w:t>
      </w:r>
      <w:r w:rsidRPr="00D94ADC">
        <w:rPr>
          <w:rFonts w:ascii="Georgia" w:hAnsi="Georgia" w:cs="Times New Roman"/>
          <w:i/>
          <w:iCs/>
          <w:noProof/>
          <w:szCs w:val="24"/>
        </w:rPr>
        <w:t>14</w:t>
      </w:r>
      <w:r w:rsidRPr="00D94ADC">
        <w:rPr>
          <w:rFonts w:ascii="Georgia" w:hAnsi="Georgia" w:cs="Times New Roman"/>
          <w:noProof/>
          <w:szCs w:val="24"/>
        </w:rPr>
        <w:t>(1), 74–89.</w:t>
      </w:r>
    </w:p>
    <w:p w14:paraId="41F6529C" w14:textId="77777777" w:rsidR="008D29EC" w:rsidRPr="008D29EC" w:rsidRDefault="008D29EC" w:rsidP="00D94ADC">
      <w:pPr>
        <w:widowControl w:val="0"/>
        <w:autoSpaceDE w:val="0"/>
        <w:autoSpaceDN w:val="0"/>
        <w:adjustRightInd w:val="0"/>
        <w:spacing w:after="0" w:line="240" w:lineRule="auto"/>
        <w:ind w:left="480" w:hanging="480"/>
        <w:jc w:val="both"/>
        <w:rPr>
          <w:rFonts w:ascii="Georgia" w:hAnsi="Georgia" w:cs="Times New Roman"/>
          <w:noProof/>
          <w:szCs w:val="24"/>
          <w:lang w:val="en-US"/>
        </w:rPr>
      </w:pPr>
    </w:p>
    <w:p w14:paraId="42CC0E1F" w14:textId="58DC2359"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lastRenderedPageBreak/>
        <w:t xml:space="preserve">Leasa, M., Fenanlampir, A., Batlolona, J. R., &amp; Saimima, A. S. (2021). </w:t>
      </w:r>
      <w:r w:rsidRPr="00D94ADC">
        <w:rPr>
          <w:rFonts w:ascii="Georgia" w:hAnsi="Georgia" w:cs="Times New Roman"/>
          <w:i/>
          <w:iCs/>
          <w:noProof/>
          <w:szCs w:val="24"/>
        </w:rPr>
        <w:t>Biosfer</w:t>
      </w:r>
      <w:r w:rsidRPr="00D94ADC">
        <w:rPr>
          <w:rFonts w:ascii="Times New Roman" w:hAnsi="Times New Roman" w:cs="Times New Roman"/>
          <w:i/>
          <w:iCs/>
          <w:noProof/>
          <w:szCs w:val="24"/>
        </w:rPr>
        <w:t> </w:t>
      </w:r>
      <w:r w:rsidRPr="00D94ADC">
        <w:rPr>
          <w:rFonts w:ascii="Georgia" w:hAnsi="Georgia" w:cs="Times New Roman"/>
          <w:i/>
          <w:iCs/>
          <w:noProof/>
          <w:szCs w:val="24"/>
        </w:rPr>
        <w:t>: Jurnal Pendidikan Biologi Problem-solving and creative thinking skills with the PBL model</w:t>
      </w:r>
      <w:r w:rsidRPr="00D94ADC">
        <w:rPr>
          <w:rFonts w:ascii="Times New Roman" w:hAnsi="Times New Roman" w:cs="Times New Roman"/>
          <w:i/>
          <w:iCs/>
          <w:noProof/>
          <w:szCs w:val="24"/>
        </w:rPr>
        <w:t> </w:t>
      </w:r>
      <w:r w:rsidRPr="00D94ADC">
        <w:rPr>
          <w:rFonts w:ascii="Georgia" w:hAnsi="Georgia" w:cs="Times New Roman"/>
          <w:i/>
          <w:iCs/>
          <w:noProof/>
          <w:szCs w:val="24"/>
        </w:rPr>
        <w:t>: The concept of the human circulatory system</w:t>
      </w:r>
      <w:r w:rsidRPr="00D94ADC">
        <w:rPr>
          <w:rFonts w:ascii="Georgia" w:hAnsi="Georgia" w:cs="Times New Roman"/>
          <w:noProof/>
          <w:szCs w:val="24"/>
        </w:rPr>
        <w:t xml:space="preserve">. </w:t>
      </w:r>
      <w:r w:rsidR="001D13B2" w:rsidRPr="001D13B2">
        <w:rPr>
          <w:rFonts w:ascii="Georgia" w:hAnsi="Georgia" w:cs="Times New Roman"/>
          <w:i/>
          <w:noProof/>
          <w:szCs w:val="24"/>
          <w:lang w:val="en-US"/>
        </w:rPr>
        <w:t>Biosfer: Jurnal Pendididakan Biologi</w:t>
      </w:r>
      <w:r w:rsidR="001D13B2">
        <w:rPr>
          <w:rFonts w:ascii="Georgia" w:hAnsi="Georgia" w:cs="Times New Roman"/>
          <w:noProof/>
          <w:szCs w:val="24"/>
          <w:lang w:val="en-US"/>
        </w:rPr>
        <w:t xml:space="preserve">, </w:t>
      </w:r>
      <w:r w:rsidRPr="00D94ADC">
        <w:rPr>
          <w:rFonts w:ascii="Georgia" w:hAnsi="Georgia" w:cs="Times New Roman"/>
          <w:i/>
          <w:iCs/>
          <w:noProof/>
          <w:szCs w:val="24"/>
        </w:rPr>
        <w:t>14</w:t>
      </w:r>
      <w:r w:rsidRPr="00D94ADC">
        <w:rPr>
          <w:rFonts w:ascii="Georgia" w:hAnsi="Georgia" w:cs="Times New Roman"/>
          <w:noProof/>
          <w:szCs w:val="24"/>
        </w:rPr>
        <w:t>(2), 154–166.</w:t>
      </w:r>
    </w:p>
    <w:p w14:paraId="29469122" w14:textId="12AD1495"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Leasa, M., Sanabuky, Y. L., Batlolona, J. R., &amp; Enriquez, J. J. (2019). Jigsaw in teaching circulatory system: a learning activity on elementary science classroom. </w:t>
      </w:r>
      <w:r w:rsidRPr="00D94ADC">
        <w:rPr>
          <w:rFonts w:ascii="Georgia" w:hAnsi="Georgia" w:cs="Times New Roman"/>
          <w:i/>
          <w:iCs/>
          <w:noProof/>
          <w:szCs w:val="24"/>
        </w:rPr>
        <w:t>Biosfer</w:t>
      </w:r>
      <w:r w:rsidR="000424B6">
        <w:rPr>
          <w:rFonts w:ascii="Georgia" w:hAnsi="Georgia" w:cs="Times New Roman"/>
          <w:i/>
          <w:iCs/>
          <w:noProof/>
          <w:szCs w:val="24"/>
          <w:lang w:val="en-US"/>
        </w:rPr>
        <w:t>: Jurnal Pendidikan Biologi</w:t>
      </w:r>
      <w:r w:rsidRPr="00D94ADC">
        <w:rPr>
          <w:rFonts w:ascii="Georgia" w:hAnsi="Georgia" w:cs="Times New Roman"/>
          <w:noProof/>
          <w:szCs w:val="24"/>
        </w:rPr>
        <w:t xml:space="preserve">, </w:t>
      </w:r>
      <w:r w:rsidRPr="00D94ADC">
        <w:rPr>
          <w:rFonts w:ascii="Georgia" w:hAnsi="Georgia" w:cs="Times New Roman"/>
          <w:i/>
          <w:iCs/>
          <w:noProof/>
          <w:szCs w:val="24"/>
        </w:rPr>
        <w:t>12</w:t>
      </w:r>
      <w:r w:rsidRPr="00D94ADC">
        <w:rPr>
          <w:rFonts w:ascii="Georgia" w:hAnsi="Georgia" w:cs="Times New Roman"/>
          <w:noProof/>
          <w:szCs w:val="24"/>
        </w:rPr>
        <w:t>(2), 122–134. https://doi.org/10.21009/biosferjpb.v12n2.122-134</w:t>
      </w:r>
    </w:p>
    <w:p w14:paraId="17295659" w14:textId="27E263FC" w:rsidR="00881618" w:rsidRPr="00881618" w:rsidRDefault="00D94ADC" w:rsidP="00881618">
      <w:pPr>
        <w:widowControl w:val="0"/>
        <w:autoSpaceDE w:val="0"/>
        <w:autoSpaceDN w:val="0"/>
        <w:adjustRightInd w:val="0"/>
        <w:spacing w:after="0" w:line="240" w:lineRule="auto"/>
        <w:ind w:left="480" w:hanging="480"/>
        <w:jc w:val="both"/>
        <w:rPr>
          <w:rFonts w:ascii="Georgia" w:hAnsi="Georgia" w:cs="Times New Roman"/>
          <w:noProof/>
          <w:szCs w:val="24"/>
          <w:lang w:val="en-US"/>
        </w:rPr>
      </w:pPr>
      <w:r w:rsidRPr="00D94ADC">
        <w:rPr>
          <w:rFonts w:ascii="Georgia" w:hAnsi="Georgia" w:cs="Times New Roman"/>
          <w:noProof/>
          <w:szCs w:val="24"/>
        </w:rPr>
        <w:t xml:space="preserve">Leasa, M., Talakua, M., &amp; Batlolona, J. R. (2016). The development of a thematic module based on Numbered Heads Together (NHT) cooperative learning model for elementary students in Ambon, Moluccas-Indonesia. </w:t>
      </w:r>
      <w:r w:rsidRPr="00D94ADC">
        <w:rPr>
          <w:rFonts w:ascii="Georgia" w:hAnsi="Georgia" w:cs="Times New Roman"/>
          <w:i/>
          <w:iCs/>
          <w:noProof/>
          <w:szCs w:val="24"/>
        </w:rPr>
        <w:t>New Educational Review</w:t>
      </w:r>
      <w:r w:rsidRPr="00D94ADC">
        <w:rPr>
          <w:rFonts w:ascii="Georgia" w:hAnsi="Georgia" w:cs="Times New Roman"/>
          <w:noProof/>
          <w:szCs w:val="24"/>
        </w:rPr>
        <w:t xml:space="preserve">, </w:t>
      </w:r>
      <w:r w:rsidRPr="00D94ADC">
        <w:rPr>
          <w:rFonts w:ascii="Georgia" w:hAnsi="Georgia" w:cs="Times New Roman"/>
          <w:i/>
          <w:iCs/>
          <w:noProof/>
          <w:szCs w:val="24"/>
        </w:rPr>
        <w:t>46</w:t>
      </w:r>
      <w:r w:rsidRPr="00D94ADC">
        <w:rPr>
          <w:rFonts w:ascii="Georgia" w:hAnsi="Georgia" w:cs="Times New Roman"/>
          <w:noProof/>
          <w:szCs w:val="24"/>
        </w:rPr>
        <w:t>(4), 174–185. https://doi.org/10.15804/tner.2016.46.4.15</w:t>
      </w:r>
    </w:p>
    <w:p w14:paraId="2A78B877" w14:textId="77777777" w:rsidR="00881618" w:rsidRDefault="00D94ADC" w:rsidP="00881618">
      <w:pPr>
        <w:widowControl w:val="0"/>
        <w:autoSpaceDE w:val="0"/>
        <w:autoSpaceDN w:val="0"/>
        <w:adjustRightInd w:val="0"/>
        <w:spacing w:after="0" w:line="240" w:lineRule="auto"/>
        <w:ind w:left="480" w:hanging="480"/>
        <w:jc w:val="both"/>
        <w:rPr>
          <w:rFonts w:ascii="Georgia" w:hAnsi="Georgia" w:cs="Times New Roman"/>
          <w:noProof/>
          <w:szCs w:val="24"/>
          <w:lang w:val="en-US"/>
        </w:rPr>
      </w:pPr>
      <w:r w:rsidRPr="00D94ADC">
        <w:rPr>
          <w:rFonts w:ascii="Georgia" w:hAnsi="Georgia" w:cs="Times New Roman"/>
          <w:noProof/>
          <w:szCs w:val="24"/>
        </w:rPr>
        <w:t xml:space="preserve">Lemola, S., Brand, S., Vogler, N., Perkinson-Gloor, N., Allemand, M., &amp; Grob, A. (2011). Habitual computer game playing at night is related to depressive symptoms. </w:t>
      </w:r>
      <w:r w:rsidRPr="00D94ADC">
        <w:rPr>
          <w:rFonts w:ascii="Georgia" w:hAnsi="Georgia" w:cs="Times New Roman"/>
          <w:i/>
          <w:iCs/>
          <w:noProof/>
          <w:szCs w:val="24"/>
        </w:rPr>
        <w:t>Personality and Individual Differences</w:t>
      </w:r>
      <w:r w:rsidRPr="00D94ADC">
        <w:rPr>
          <w:rFonts w:ascii="Georgia" w:hAnsi="Georgia" w:cs="Times New Roman"/>
          <w:noProof/>
          <w:szCs w:val="24"/>
        </w:rPr>
        <w:t xml:space="preserve">, </w:t>
      </w:r>
      <w:r w:rsidRPr="00D94ADC">
        <w:rPr>
          <w:rFonts w:ascii="Georgia" w:hAnsi="Georgia" w:cs="Times New Roman"/>
          <w:i/>
          <w:iCs/>
          <w:noProof/>
          <w:szCs w:val="24"/>
        </w:rPr>
        <w:t>51</w:t>
      </w:r>
      <w:r w:rsidRPr="00D94ADC">
        <w:rPr>
          <w:rFonts w:ascii="Georgia" w:hAnsi="Georgia" w:cs="Times New Roman"/>
          <w:noProof/>
          <w:szCs w:val="24"/>
        </w:rPr>
        <w:t>(2), 117–122. https://doi.org/10.1016/j.paid.2011.03.024</w:t>
      </w:r>
    </w:p>
    <w:p w14:paraId="3322713F" w14:textId="74497589" w:rsidR="00881618" w:rsidRPr="00881618" w:rsidRDefault="00881618" w:rsidP="00881618">
      <w:pPr>
        <w:widowControl w:val="0"/>
        <w:autoSpaceDE w:val="0"/>
        <w:autoSpaceDN w:val="0"/>
        <w:adjustRightInd w:val="0"/>
        <w:spacing w:after="0" w:line="240" w:lineRule="auto"/>
        <w:ind w:left="480" w:hanging="480"/>
        <w:jc w:val="both"/>
        <w:rPr>
          <w:rFonts w:ascii="Georgia" w:hAnsi="Georgia" w:cs="Times New Roman"/>
          <w:noProof/>
          <w:szCs w:val="24"/>
          <w:lang w:val="en-US"/>
        </w:rPr>
      </w:pPr>
      <w:r w:rsidRPr="00881618">
        <w:rPr>
          <w:rFonts w:ascii="Georgia" w:hAnsi="Georgia"/>
        </w:rPr>
        <w:t>Lenhart, A., Kahne, J., Middaugh, E., Macgill, A. R., Evans, C., &amp; Vitak, J. (2008). Teens, video games, and civics: Teens’ gaming experiences are diverse and include significant social interaction and civic engagement. Pew Internet &amp; American Life Project. Retrieved from the Pew Internet &amp; American Life Project website: http://www.pewinternet.org/ Reports/2008/Teens-Video-Games-and-Civics.aspx</w:t>
      </w:r>
    </w:p>
    <w:p w14:paraId="36ABDA5D"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Lewis, B. D., &amp; Nguyen, H. T. M. (2020). Assessing the causal impact of compulsory schooling policy in Indonesia. </w:t>
      </w:r>
      <w:r w:rsidRPr="00D94ADC">
        <w:rPr>
          <w:rFonts w:ascii="Georgia" w:hAnsi="Georgia" w:cs="Times New Roman"/>
          <w:i/>
          <w:iCs/>
          <w:noProof/>
          <w:szCs w:val="24"/>
        </w:rPr>
        <w:t>International Journal of Educational Research</w:t>
      </w:r>
      <w:r w:rsidRPr="00D94ADC">
        <w:rPr>
          <w:rFonts w:ascii="Georgia" w:hAnsi="Georgia" w:cs="Times New Roman"/>
          <w:noProof/>
          <w:szCs w:val="24"/>
        </w:rPr>
        <w:t xml:space="preserve">, </w:t>
      </w:r>
      <w:r w:rsidRPr="00D94ADC">
        <w:rPr>
          <w:rFonts w:ascii="Georgia" w:hAnsi="Georgia" w:cs="Times New Roman"/>
          <w:i/>
          <w:iCs/>
          <w:noProof/>
          <w:szCs w:val="24"/>
        </w:rPr>
        <w:t>104</w:t>
      </w:r>
      <w:r w:rsidRPr="00D94ADC">
        <w:rPr>
          <w:rFonts w:ascii="Georgia" w:hAnsi="Georgia" w:cs="Times New Roman"/>
          <w:noProof/>
          <w:szCs w:val="24"/>
        </w:rPr>
        <w:t>(October), 101693. https://doi.org/10.1016/j.ijer.2020.101693</w:t>
      </w:r>
    </w:p>
    <w:p w14:paraId="79E4E85D"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Liebech-Lien, B. (2021). Teacher teams – A support or a barrier to practising cooperative learning? </w:t>
      </w:r>
      <w:r w:rsidRPr="00D94ADC">
        <w:rPr>
          <w:rFonts w:ascii="Georgia" w:hAnsi="Georgia" w:cs="Times New Roman"/>
          <w:i/>
          <w:iCs/>
          <w:noProof/>
          <w:szCs w:val="24"/>
        </w:rPr>
        <w:t>Teaching and Teacher Education</w:t>
      </w:r>
      <w:r w:rsidRPr="00D94ADC">
        <w:rPr>
          <w:rFonts w:ascii="Georgia" w:hAnsi="Georgia" w:cs="Times New Roman"/>
          <w:noProof/>
          <w:szCs w:val="24"/>
        </w:rPr>
        <w:t xml:space="preserve">, </w:t>
      </w:r>
      <w:r w:rsidRPr="00D94ADC">
        <w:rPr>
          <w:rFonts w:ascii="Georgia" w:hAnsi="Georgia" w:cs="Times New Roman"/>
          <w:i/>
          <w:iCs/>
          <w:noProof/>
          <w:szCs w:val="24"/>
        </w:rPr>
        <w:t>106</w:t>
      </w:r>
      <w:r w:rsidRPr="00D94ADC">
        <w:rPr>
          <w:rFonts w:ascii="Georgia" w:hAnsi="Georgia" w:cs="Times New Roman"/>
          <w:noProof/>
          <w:szCs w:val="24"/>
        </w:rPr>
        <w:t>, 103453. https://doi.org/10.1016/j.tate.2021.103453</w:t>
      </w:r>
    </w:p>
    <w:p w14:paraId="5DB33C08"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Luo, Y. J., Lin, M. L., Hsu, C. H., Liao, C. C., &amp; Kao, C. C. (2020). The effects of team-game-tournaments application towards learning motivation and motor skills in college physical education. </w:t>
      </w:r>
      <w:r w:rsidRPr="00D94ADC">
        <w:rPr>
          <w:rFonts w:ascii="Georgia" w:hAnsi="Georgia" w:cs="Times New Roman"/>
          <w:i/>
          <w:iCs/>
          <w:noProof/>
          <w:szCs w:val="24"/>
        </w:rPr>
        <w:t>Sustainability (Switzerland)</w:t>
      </w:r>
      <w:r w:rsidRPr="00D94ADC">
        <w:rPr>
          <w:rFonts w:ascii="Georgia" w:hAnsi="Georgia" w:cs="Times New Roman"/>
          <w:noProof/>
          <w:szCs w:val="24"/>
        </w:rPr>
        <w:t xml:space="preserve">, </w:t>
      </w:r>
      <w:r w:rsidRPr="00D94ADC">
        <w:rPr>
          <w:rFonts w:ascii="Georgia" w:hAnsi="Georgia" w:cs="Times New Roman"/>
          <w:i/>
          <w:iCs/>
          <w:noProof/>
          <w:szCs w:val="24"/>
        </w:rPr>
        <w:t>12</w:t>
      </w:r>
      <w:r w:rsidRPr="00D94ADC">
        <w:rPr>
          <w:rFonts w:ascii="Georgia" w:hAnsi="Georgia" w:cs="Times New Roman"/>
          <w:noProof/>
          <w:szCs w:val="24"/>
        </w:rPr>
        <w:t>(15), 1–12. https://doi.org/10.3390/su12156147</w:t>
      </w:r>
    </w:p>
    <w:p w14:paraId="4012EFAC"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Matchett, N. J. (2009). Cooperative Learning, Critical Thinking, and Character: Techniques to Cultivate Ethical Deliberation. </w:t>
      </w:r>
      <w:r w:rsidRPr="00D94ADC">
        <w:rPr>
          <w:rFonts w:ascii="Georgia" w:hAnsi="Georgia" w:cs="Times New Roman"/>
          <w:i/>
          <w:iCs/>
          <w:noProof/>
          <w:szCs w:val="24"/>
        </w:rPr>
        <w:t>Public Integrity</w:t>
      </w:r>
      <w:r w:rsidRPr="00D94ADC">
        <w:rPr>
          <w:rFonts w:ascii="Georgia" w:hAnsi="Georgia" w:cs="Times New Roman"/>
          <w:noProof/>
          <w:szCs w:val="24"/>
        </w:rPr>
        <w:t xml:space="preserve">, </w:t>
      </w:r>
      <w:r w:rsidRPr="00D94ADC">
        <w:rPr>
          <w:rFonts w:ascii="Georgia" w:hAnsi="Georgia" w:cs="Times New Roman"/>
          <w:i/>
          <w:iCs/>
          <w:noProof/>
          <w:szCs w:val="24"/>
        </w:rPr>
        <w:t>12</w:t>
      </w:r>
      <w:r w:rsidRPr="00D94ADC">
        <w:rPr>
          <w:rFonts w:ascii="Georgia" w:hAnsi="Georgia" w:cs="Times New Roman"/>
          <w:noProof/>
          <w:szCs w:val="24"/>
        </w:rPr>
        <w:t>(1), 25–38. https://doi.org/10.2753/PIN1099-9922120102</w:t>
      </w:r>
    </w:p>
    <w:p w14:paraId="3181817C"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Mentz, E., &amp; Zyl, S. Van. (2018). The impact of cooperative learning on self- directed learning abilities in the computer applications technology class. </w:t>
      </w:r>
      <w:r w:rsidRPr="00D94ADC">
        <w:rPr>
          <w:rFonts w:ascii="Georgia" w:hAnsi="Georgia" w:cs="Times New Roman"/>
          <w:i/>
          <w:iCs/>
          <w:noProof/>
          <w:szCs w:val="24"/>
        </w:rPr>
        <w:t>International Journal of Lifelong Education</w:t>
      </w:r>
      <w:r w:rsidRPr="00D94ADC">
        <w:rPr>
          <w:rFonts w:ascii="Georgia" w:hAnsi="Georgia" w:cs="Times New Roman"/>
          <w:noProof/>
          <w:szCs w:val="24"/>
        </w:rPr>
        <w:t xml:space="preserve">, </w:t>
      </w:r>
      <w:r w:rsidRPr="00D94ADC">
        <w:rPr>
          <w:rFonts w:ascii="Georgia" w:hAnsi="Georgia" w:cs="Times New Roman"/>
          <w:i/>
          <w:iCs/>
          <w:noProof/>
          <w:szCs w:val="24"/>
        </w:rPr>
        <w:t>00</w:t>
      </w:r>
      <w:r w:rsidRPr="00D94ADC">
        <w:rPr>
          <w:rFonts w:ascii="Georgia" w:hAnsi="Georgia" w:cs="Times New Roman"/>
          <w:noProof/>
          <w:szCs w:val="24"/>
        </w:rPr>
        <w:t>(00), 1–13. https://doi.org/10.1080/02601370.2018.1513426</w:t>
      </w:r>
    </w:p>
    <w:p w14:paraId="50515062"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Miquel, E., &amp; Duran, D. (2017). Peer Learning Network: implementing and sustaining cooperative learning by teacher collaboration. </w:t>
      </w:r>
      <w:r w:rsidRPr="00D94ADC">
        <w:rPr>
          <w:rFonts w:ascii="Georgia" w:hAnsi="Georgia" w:cs="Times New Roman"/>
          <w:i/>
          <w:iCs/>
          <w:noProof/>
          <w:szCs w:val="24"/>
        </w:rPr>
        <w:t>Journal of Education for Teaching</w:t>
      </w:r>
      <w:r w:rsidRPr="00D94ADC">
        <w:rPr>
          <w:rFonts w:ascii="Georgia" w:hAnsi="Georgia" w:cs="Times New Roman"/>
          <w:noProof/>
          <w:szCs w:val="24"/>
        </w:rPr>
        <w:t xml:space="preserve">, </w:t>
      </w:r>
      <w:r w:rsidRPr="00D94ADC">
        <w:rPr>
          <w:rFonts w:ascii="Georgia" w:hAnsi="Georgia" w:cs="Times New Roman"/>
          <w:i/>
          <w:iCs/>
          <w:noProof/>
          <w:szCs w:val="24"/>
        </w:rPr>
        <w:t>43</w:t>
      </w:r>
      <w:r w:rsidRPr="00D94ADC">
        <w:rPr>
          <w:rFonts w:ascii="Georgia" w:hAnsi="Georgia" w:cs="Times New Roman"/>
          <w:noProof/>
          <w:szCs w:val="24"/>
        </w:rPr>
        <w:t>(3), 349–360. https://doi.org/10.1080/02607476.2017.1319509</w:t>
      </w:r>
    </w:p>
    <w:p w14:paraId="5A858D60"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Morgan, K. (2019). Applying Mastery TARGET Structures to Cooperative Learning in Physical Education. </w:t>
      </w:r>
      <w:r w:rsidRPr="00D94ADC">
        <w:rPr>
          <w:rFonts w:ascii="Georgia" w:hAnsi="Georgia" w:cs="Times New Roman"/>
          <w:i/>
          <w:iCs/>
          <w:noProof/>
          <w:szCs w:val="24"/>
        </w:rPr>
        <w:t>Journal of Physical Education, Recreation and Dance</w:t>
      </w:r>
      <w:r w:rsidRPr="00D94ADC">
        <w:rPr>
          <w:rFonts w:ascii="Georgia" w:hAnsi="Georgia" w:cs="Times New Roman"/>
          <w:noProof/>
          <w:szCs w:val="24"/>
        </w:rPr>
        <w:t xml:space="preserve">, </w:t>
      </w:r>
      <w:r w:rsidRPr="00D94ADC">
        <w:rPr>
          <w:rFonts w:ascii="Georgia" w:hAnsi="Georgia" w:cs="Times New Roman"/>
          <w:i/>
          <w:iCs/>
          <w:noProof/>
          <w:szCs w:val="24"/>
        </w:rPr>
        <w:t>90</w:t>
      </w:r>
      <w:r w:rsidRPr="00D94ADC">
        <w:rPr>
          <w:rFonts w:ascii="Georgia" w:hAnsi="Georgia" w:cs="Times New Roman"/>
          <w:noProof/>
          <w:szCs w:val="24"/>
        </w:rPr>
        <w:t>(3), 27–32. https://doi.org/10.1080/07303084.2019.1559677</w:t>
      </w:r>
    </w:p>
    <w:p w14:paraId="508D8A8B"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Ning, H., &amp; Hornby, G. (2014). The impact of cooperative learning on tertiary EFL learners’ motivation. </w:t>
      </w:r>
      <w:r w:rsidRPr="00D94ADC">
        <w:rPr>
          <w:rFonts w:ascii="Georgia" w:hAnsi="Georgia" w:cs="Times New Roman"/>
          <w:i/>
          <w:iCs/>
          <w:noProof/>
          <w:szCs w:val="24"/>
        </w:rPr>
        <w:t>Educational Review</w:t>
      </w:r>
      <w:r w:rsidRPr="00D94ADC">
        <w:rPr>
          <w:rFonts w:ascii="Georgia" w:hAnsi="Georgia" w:cs="Times New Roman"/>
          <w:noProof/>
          <w:szCs w:val="24"/>
        </w:rPr>
        <w:t xml:space="preserve">, </w:t>
      </w:r>
      <w:r w:rsidRPr="00D94ADC">
        <w:rPr>
          <w:rFonts w:ascii="Georgia" w:hAnsi="Georgia" w:cs="Times New Roman"/>
          <w:i/>
          <w:iCs/>
          <w:noProof/>
          <w:szCs w:val="24"/>
        </w:rPr>
        <w:t>66</w:t>
      </w:r>
      <w:r w:rsidRPr="00D94ADC">
        <w:rPr>
          <w:rFonts w:ascii="Georgia" w:hAnsi="Georgia" w:cs="Times New Roman"/>
          <w:noProof/>
          <w:szCs w:val="24"/>
        </w:rPr>
        <w:t>(1), 108–124. https://doi.org/10.1080/00131911.2013.853169</w:t>
      </w:r>
    </w:p>
    <w:p w14:paraId="6108DB33"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Peña-Ayala, A. (2021). A learning design cooperative framework to instill 21st century education. </w:t>
      </w:r>
      <w:r w:rsidRPr="00D94ADC">
        <w:rPr>
          <w:rFonts w:ascii="Georgia" w:hAnsi="Georgia" w:cs="Times New Roman"/>
          <w:i/>
          <w:iCs/>
          <w:noProof/>
          <w:szCs w:val="24"/>
        </w:rPr>
        <w:t>Telematics and Informatics</w:t>
      </w:r>
      <w:r w:rsidRPr="00D94ADC">
        <w:rPr>
          <w:rFonts w:ascii="Georgia" w:hAnsi="Georgia" w:cs="Times New Roman"/>
          <w:noProof/>
          <w:szCs w:val="24"/>
        </w:rPr>
        <w:t xml:space="preserve">, </w:t>
      </w:r>
      <w:r w:rsidRPr="00D94ADC">
        <w:rPr>
          <w:rFonts w:ascii="Georgia" w:hAnsi="Georgia" w:cs="Times New Roman"/>
          <w:i/>
          <w:iCs/>
          <w:noProof/>
          <w:szCs w:val="24"/>
        </w:rPr>
        <w:t>62</w:t>
      </w:r>
      <w:r w:rsidRPr="00D94ADC">
        <w:rPr>
          <w:rFonts w:ascii="Georgia" w:hAnsi="Georgia" w:cs="Times New Roman"/>
          <w:noProof/>
          <w:szCs w:val="24"/>
        </w:rPr>
        <w:t>(May), 1–16. https://doi.org/10.1016/j.tele.2021.101632</w:t>
      </w:r>
    </w:p>
    <w:p w14:paraId="2BCE122A"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Prasetyia, F. (2019). The role of local government policy on secondary school enrolment decision in Indonesia. In </w:t>
      </w:r>
      <w:r w:rsidRPr="00D94ADC">
        <w:rPr>
          <w:rFonts w:ascii="Georgia" w:hAnsi="Georgia" w:cs="Times New Roman"/>
          <w:i/>
          <w:iCs/>
          <w:noProof/>
          <w:szCs w:val="24"/>
        </w:rPr>
        <w:t>Eurasian Economic Review</w:t>
      </w:r>
      <w:r w:rsidRPr="00D94ADC">
        <w:rPr>
          <w:rFonts w:ascii="Georgia" w:hAnsi="Georgia" w:cs="Times New Roman"/>
          <w:noProof/>
          <w:szCs w:val="24"/>
        </w:rPr>
        <w:t xml:space="preserve"> (Vol. 9, Issue 2). Springer International Publishing. https://doi.org/10.1007/s40822-018-0101-9</w:t>
      </w:r>
    </w:p>
    <w:p w14:paraId="1B9B988C"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Rivera-Pérez, S., León-Del-barco, B., Fernandez-Rio, J., González-Bernal, J. J., &amp; Gallego, D. I. (2020). Linking cooperative learning and emotional intelligence in physical education: Transition across school stages. </w:t>
      </w:r>
      <w:r w:rsidRPr="00D94ADC">
        <w:rPr>
          <w:rFonts w:ascii="Georgia" w:hAnsi="Georgia" w:cs="Times New Roman"/>
          <w:i/>
          <w:iCs/>
          <w:noProof/>
          <w:szCs w:val="24"/>
        </w:rPr>
        <w:t>International Journal of Environmental Research and Public Health</w:t>
      </w:r>
      <w:r w:rsidRPr="00D94ADC">
        <w:rPr>
          <w:rFonts w:ascii="Georgia" w:hAnsi="Georgia" w:cs="Times New Roman"/>
          <w:noProof/>
          <w:szCs w:val="24"/>
        </w:rPr>
        <w:t xml:space="preserve">, </w:t>
      </w:r>
      <w:r w:rsidRPr="00D94ADC">
        <w:rPr>
          <w:rFonts w:ascii="Georgia" w:hAnsi="Georgia" w:cs="Times New Roman"/>
          <w:i/>
          <w:iCs/>
          <w:noProof/>
          <w:szCs w:val="24"/>
        </w:rPr>
        <w:t>17</w:t>
      </w:r>
      <w:r w:rsidRPr="00D94ADC">
        <w:rPr>
          <w:rFonts w:ascii="Georgia" w:hAnsi="Georgia" w:cs="Times New Roman"/>
          <w:noProof/>
          <w:szCs w:val="24"/>
        </w:rPr>
        <w:t>(14), 1–11. https://doi.org/10.3390/ijerph17145090</w:t>
      </w:r>
    </w:p>
    <w:p w14:paraId="3B37EAAE"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Saavedra, J. M., García-Hermoso, A., Escalante, Y., Dominguez, A. M., Arellano, R., &amp; Navarro, F. (2014). Relationship between exchange block time in swim starts and final performance in relay races in international championships. </w:t>
      </w:r>
      <w:r w:rsidRPr="00D94ADC">
        <w:rPr>
          <w:rFonts w:ascii="Georgia" w:hAnsi="Georgia" w:cs="Times New Roman"/>
          <w:i/>
          <w:iCs/>
          <w:noProof/>
          <w:szCs w:val="24"/>
        </w:rPr>
        <w:t>Journal of Sports Sciences</w:t>
      </w:r>
      <w:r w:rsidRPr="00D94ADC">
        <w:rPr>
          <w:rFonts w:ascii="Georgia" w:hAnsi="Georgia" w:cs="Times New Roman"/>
          <w:noProof/>
          <w:szCs w:val="24"/>
        </w:rPr>
        <w:t xml:space="preserve">, </w:t>
      </w:r>
      <w:r w:rsidRPr="00D94ADC">
        <w:rPr>
          <w:rFonts w:ascii="Georgia" w:hAnsi="Georgia" w:cs="Times New Roman"/>
          <w:i/>
          <w:iCs/>
          <w:noProof/>
          <w:szCs w:val="24"/>
        </w:rPr>
        <w:t>32</w:t>
      </w:r>
      <w:r w:rsidRPr="00D94ADC">
        <w:rPr>
          <w:rFonts w:ascii="Georgia" w:hAnsi="Georgia" w:cs="Times New Roman"/>
          <w:noProof/>
          <w:szCs w:val="24"/>
        </w:rPr>
        <w:t>(19), 1783–1789. https://doi.org/10.1080/02640414.2014.920099</w:t>
      </w:r>
    </w:p>
    <w:p w14:paraId="6B32FB69" w14:textId="75CC7CDC"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Salam, A., Hossain, A., &amp; Rahman, S. (2015). Teams </w:t>
      </w:r>
      <w:r w:rsidR="00EC0348" w:rsidRPr="00D94ADC">
        <w:rPr>
          <w:rFonts w:ascii="Georgia" w:hAnsi="Georgia" w:cs="Times New Roman"/>
          <w:noProof/>
          <w:szCs w:val="24"/>
        </w:rPr>
        <w:t>games tournaments</w:t>
      </w:r>
      <w:r w:rsidRPr="00D94ADC">
        <w:rPr>
          <w:rFonts w:ascii="Georgia" w:hAnsi="Georgia" w:cs="Times New Roman"/>
          <w:noProof/>
          <w:szCs w:val="24"/>
        </w:rPr>
        <w:t xml:space="preserve"> ( TGT ). </w:t>
      </w:r>
      <w:r w:rsidR="00EC0348" w:rsidRPr="00D94ADC">
        <w:rPr>
          <w:rFonts w:ascii="Georgia" w:hAnsi="Georgia" w:cs="Times New Roman"/>
          <w:noProof/>
          <w:szCs w:val="24"/>
        </w:rPr>
        <w:t>cooperative technique for learning mathematics in secondary schools</w:t>
      </w:r>
      <w:r w:rsidRPr="00D94ADC">
        <w:rPr>
          <w:rFonts w:ascii="Georgia" w:hAnsi="Georgia" w:cs="Times New Roman"/>
          <w:noProof/>
          <w:szCs w:val="24"/>
        </w:rPr>
        <w:t xml:space="preserve"> in Bangladesh. </w:t>
      </w:r>
      <w:r w:rsidRPr="00D94ADC">
        <w:rPr>
          <w:rFonts w:ascii="Georgia" w:hAnsi="Georgia" w:cs="Times New Roman"/>
          <w:i/>
          <w:iCs/>
          <w:noProof/>
          <w:szCs w:val="24"/>
        </w:rPr>
        <w:t>Malaysian Online Journal of Educational Technology</w:t>
      </w:r>
      <w:r w:rsidRPr="00D94ADC">
        <w:rPr>
          <w:rFonts w:ascii="Georgia" w:hAnsi="Georgia" w:cs="Times New Roman"/>
          <w:noProof/>
          <w:szCs w:val="24"/>
        </w:rPr>
        <w:t xml:space="preserve">, </w:t>
      </w:r>
      <w:r w:rsidRPr="00D94ADC">
        <w:rPr>
          <w:rFonts w:ascii="Georgia" w:hAnsi="Georgia" w:cs="Times New Roman"/>
          <w:i/>
          <w:iCs/>
          <w:noProof/>
          <w:szCs w:val="24"/>
        </w:rPr>
        <w:t>3</w:t>
      </w:r>
      <w:r w:rsidRPr="00D94ADC">
        <w:rPr>
          <w:rFonts w:ascii="Georgia" w:hAnsi="Georgia" w:cs="Times New Roman"/>
          <w:noProof/>
          <w:szCs w:val="24"/>
        </w:rPr>
        <w:t>(3), 271–287. https://doi.org/10.4471/redimat.2015.1519</w:t>
      </w:r>
    </w:p>
    <w:p w14:paraId="1DE3E20F"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lastRenderedPageBreak/>
        <w:t xml:space="preserve">Segundo Marcos, R. I., López Ferández, V., Daza González, M. T., &amp; Phillips-Silver, J. (2020). Promoting children’s creative thinking through reading and writing in a cooperative learning classroom. </w:t>
      </w:r>
      <w:r w:rsidRPr="00D94ADC">
        <w:rPr>
          <w:rFonts w:ascii="Georgia" w:hAnsi="Georgia" w:cs="Times New Roman"/>
          <w:i/>
          <w:iCs/>
          <w:noProof/>
          <w:szCs w:val="24"/>
        </w:rPr>
        <w:t>Thinking Skills and Creativity</w:t>
      </w:r>
      <w:r w:rsidRPr="00D94ADC">
        <w:rPr>
          <w:rFonts w:ascii="Georgia" w:hAnsi="Georgia" w:cs="Times New Roman"/>
          <w:noProof/>
          <w:szCs w:val="24"/>
        </w:rPr>
        <w:t xml:space="preserve">, </w:t>
      </w:r>
      <w:r w:rsidRPr="00D94ADC">
        <w:rPr>
          <w:rFonts w:ascii="Georgia" w:hAnsi="Georgia" w:cs="Times New Roman"/>
          <w:i/>
          <w:iCs/>
          <w:noProof/>
          <w:szCs w:val="24"/>
        </w:rPr>
        <w:t>36</w:t>
      </w:r>
      <w:r w:rsidRPr="00D94ADC">
        <w:rPr>
          <w:rFonts w:ascii="Georgia" w:hAnsi="Georgia" w:cs="Times New Roman"/>
          <w:noProof/>
          <w:szCs w:val="24"/>
        </w:rPr>
        <w:t>(June 2019), 100663. https://doi.org/10.1016/j.tsc.2020.100663</w:t>
      </w:r>
    </w:p>
    <w:p w14:paraId="4A64171D"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Slavin, R. E. (1980). Cooperative Learning. </w:t>
      </w:r>
      <w:r w:rsidRPr="00D94ADC">
        <w:rPr>
          <w:rFonts w:ascii="Georgia" w:hAnsi="Georgia" w:cs="Times New Roman"/>
          <w:i/>
          <w:iCs/>
          <w:noProof/>
          <w:szCs w:val="24"/>
        </w:rPr>
        <w:t>Review of Educational Research</w:t>
      </w:r>
      <w:r w:rsidRPr="00D94ADC">
        <w:rPr>
          <w:rFonts w:ascii="Georgia" w:hAnsi="Georgia" w:cs="Times New Roman"/>
          <w:noProof/>
          <w:szCs w:val="24"/>
        </w:rPr>
        <w:t xml:space="preserve">, </w:t>
      </w:r>
      <w:r w:rsidRPr="00D94ADC">
        <w:rPr>
          <w:rFonts w:ascii="Georgia" w:hAnsi="Georgia" w:cs="Times New Roman"/>
          <w:i/>
          <w:iCs/>
          <w:noProof/>
          <w:szCs w:val="24"/>
        </w:rPr>
        <w:t>50</w:t>
      </w:r>
      <w:r w:rsidRPr="00D94ADC">
        <w:rPr>
          <w:rFonts w:ascii="Georgia" w:hAnsi="Georgia" w:cs="Times New Roman"/>
          <w:noProof/>
          <w:szCs w:val="24"/>
        </w:rPr>
        <w:t>(2), 315–342. https://doi.org/10.3102/00346543050002315</w:t>
      </w:r>
    </w:p>
    <w:p w14:paraId="7CD7A02E"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Slavin, R. E. (2008). Cooperative Learning, Success for All, and Evidence-based Reform in education. </w:t>
      </w:r>
      <w:r w:rsidRPr="00D94ADC">
        <w:rPr>
          <w:rFonts w:ascii="Georgia" w:hAnsi="Georgia" w:cs="Times New Roman"/>
          <w:i/>
          <w:iCs/>
          <w:noProof/>
          <w:szCs w:val="24"/>
        </w:rPr>
        <w:t>Éducation Et Didactique</w:t>
      </w:r>
      <w:r w:rsidRPr="00D94ADC">
        <w:rPr>
          <w:rFonts w:ascii="Georgia" w:hAnsi="Georgia" w:cs="Times New Roman"/>
          <w:noProof/>
          <w:szCs w:val="24"/>
        </w:rPr>
        <w:t xml:space="preserve">, </w:t>
      </w:r>
      <w:r w:rsidRPr="00D94ADC">
        <w:rPr>
          <w:rFonts w:ascii="Georgia" w:hAnsi="Georgia" w:cs="Times New Roman"/>
          <w:i/>
          <w:iCs/>
          <w:noProof/>
          <w:szCs w:val="24"/>
        </w:rPr>
        <w:t>2</w:t>
      </w:r>
      <w:r w:rsidRPr="00D94ADC">
        <w:rPr>
          <w:rFonts w:ascii="Georgia" w:hAnsi="Georgia" w:cs="Times New Roman"/>
          <w:noProof/>
          <w:szCs w:val="24"/>
        </w:rPr>
        <w:t>–</w:t>
      </w:r>
      <w:r w:rsidRPr="00D94ADC">
        <w:rPr>
          <w:rFonts w:ascii="Georgia" w:hAnsi="Georgia" w:cs="Times New Roman"/>
          <w:i/>
          <w:iCs/>
          <w:noProof/>
          <w:szCs w:val="24"/>
        </w:rPr>
        <w:t>2</w:t>
      </w:r>
      <w:r w:rsidRPr="00D94ADC">
        <w:rPr>
          <w:rFonts w:ascii="Georgia" w:hAnsi="Georgia" w:cs="Times New Roman"/>
          <w:noProof/>
          <w:szCs w:val="24"/>
        </w:rPr>
        <w:t>, 149–157. https://doi.org/10.4000/educationdidactique.334</w:t>
      </w:r>
    </w:p>
    <w:p w14:paraId="7728ED15"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Slavin, R. E. (2014). Cooperative learning and academic achievement: Why does groupwork work? </w:t>
      </w:r>
      <w:r w:rsidRPr="00D94ADC">
        <w:rPr>
          <w:rFonts w:ascii="Georgia" w:hAnsi="Georgia" w:cs="Times New Roman"/>
          <w:i/>
          <w:iCs/>
          <w:noProof/>
          <w:szCs w:val="24"/>
        </w:rPr>
        <w:t>Cooperative Learning and Academic Achievement: Why Does Groupwork Work?</w:t>
      </w:r>
      <w:r w:rsidRPr="00D94ADC">
        <w:rPr>
          <w:rFonts w:ascii="Georgia" w:hAnsi="Georgia" w:cs="Times New Roman"/>
          <w:noProof/>
          <w:szCs w:val="24"/>
        </w:rPr>
        <w:t xml:space="preserve">, </w:t>
      </w:r>
      <w:r w:rsidRPr="00D94ADC">
        <w:rPr>
          <w:rFonts w:ascii="Georgia" w:hAnsi="Georgia" w:cs="Times New Roman"/>
          <w:i/>
          <w:iCs/>
          <w:noProof/>
          <w:szCs w:val="24"/>
        </w:rPr>
        <w:t>30</w:t>
      </w:r>
      <w:r w:rsidRPr="00D94ADC">
        <w:rPr>
          <w:rFonts w:ascii="Georgia" w:hAnsi="Georgia" w:cs="Times New Roman"/>
          <w:noProof/>
          <w:szCs w:val="24"/>
        </w:rPr>
        <w:t>(3), 785–791. https://doi.org/10.6018/analesps.30.3.201201</w:t>
      </w:r>
    </w:p>
    <w:p w14:paraId="781C3FE1"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Slavin, R. E. (2015). Cooperative learning in elementary schools. </w:t>
      </w:r>
      <w:r w:rsidRPr="00D94ADC">
        <w:rPr>
          <w:rFonts w:ascii="Georgia" w:hAnsi="Georgia" w:cs="Times New Roman"/>
          <w:i/>
          <w:iCs/>
          <w:noProof/>
          <w:szCs w:val="24"/>
        </w:rPr>
        <w:t>Education 3-13</w:t>
      </w:r>
      <w:r w:rsidRPr="00D94ADC">
        <w:rPr>
          <w:rFonts w:ascii="Georgia" w:hAnsi="Georgia" w:cs="Times New Roman"/>
          <w:noProof/>
          <w:szCs w:val="24"/>
        </w:rPr>
        <w:t xml:space="preserve">, </w:t>
      </w:r>
      <w:r w:rsidRPr="00D94ADC">
        <w:rPr>
          <w:rFonts w:ascii="Georgia" w:hAnsi="Georgia" w:cs="Times New Roman"/>
          <w:i/>
          <w:iCs/>
          <w:noProof/>
          <w:szCs w:val="24"/>
        </w:rPr>
        <w:t>43</w:t>
      </w:r>
      <w:r w:rsidRPr="00D94ADC">
        <w:rPr>
          <w:rFonts w:ascii="Georgia" w:hAnsi="Georgia" w:cs="Times New Roman"/>
          <w:noProof/>
          <w:szCs w:val="24"/>
        </w:rPr>
        <w:t>(1), 5–14. https://doi.org/10.1080/03004279.2015.963370</w:t>
      </w:r>
    </w:p>
    <w:p w14:paraId="6ECB8150"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Tarhan, L., &amp; Acar Sesen, B. (2012). Jigsaw cooperative learning: Acid-base theories. </w:t>
      </w:r>
      <w:r w:rsidRPr="00D94ADC">
        <w:rPr>
          <w:rFonts w:ascii="Georgia" w:hAnsi="Georgia" w:cs="Times New Roman"/>
          <w:i/>
          <w:iCs/>
          <w:noProof/>
          <w:szCs w:val="24"/>
        </w:rPr>
        <w:t>Chemistry Education Research and Practice</w:t>
      </w:r>
      <w:r w:rsidRPr="00D94ADC">
        <w:rPr>
          <w:rFonts w:ascii="Georgia" w:hAnsi="Georgia" w:cs="Times New Roman"/>
          <w:noProof/>
          <w:szCs w:val="24"/>
        </w:rPr>
        <w:t xml:space="preserve">, </w:t>
      </w:r>
      <w:r w:rsidRPr="00D94ADC">
        <w:rPr>
          <w:rFonts w:ascii="Georgia" w:hAnsi="Georgia" w:cs="Times New Roman"/>
          <w:i/>
          <w:iCs/>
          <w:noProof/>
          <w:szCs w:val="24"/>
        </w:rPr>
        <w:t>13</w:t>
      </w:r>
      <w:r w:rsidRPr="00D94ADC">
        <w:rPr>
          <w:rFonts w:ascii="Georgia" w:hAnsi="Georgia" w:cs="Times New Roman"/>
          <w:noProof/>
          <w:szCs w:val="24"/>
        </w:rPr>
        <w:t>(3), 307–313. https://doi.org/10.1039/c2rp90004a</w:t>
      </w:r>
    </w:p>
    <w:p w14:paraId="102CCD88"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Tarim, K., &amp; Akdeniz, F. (2008). The effects of cooperative learning on Turkish elementary students’ mathematics achievement and attitude towards mathematics using TAI and STAD methods. </w:t>
      </w:r>
      <w:r w:rsidRPr="00D94ADC">
        <w:rPr>
          <w:rFonts w:ascii="Georgia" w:hAnsi="Georgia" w:cs="Times New Roman"/>
          <w:i/>
          <w:iCs/>
          <w:noProof/>
          <w:szCs w:val="24"/>
        </w:rPr>
        <w:t>Educational Studies in Mathematics</w:t>
      </w:r>
      <w:r w:rsidRPr="00D94ADC">
        <w:rPr>
          <w:rFonts w:ascii="Georgia" w:hAnsi="Georgia" w:cs="Times New Roman"/>
          <w:noProof/>
          <w:szCs w:val="24"/>
        </w:rPr>
        <w:t xml:space="preserve">, </w:t>
      </w:r>
      <w:r w:rsidRPr="00D94ADC">
        <w:rPr>
          <w:rFonts w:ascii="Georgia" w:hAnsi="Georgia" w:cs="Times New Roman"/>
          <w:i/>
          <w:iCs/>
          <w:noProof/>
          <w:szCs w:val="24"/>
        </w:rPr>
        <w:t>67</w:t>
      </w:r>
      <w:r w:rsidRPr="00D94ADC">
        <w:rPr>
          <w:rFonts w:ascii="Georgia" w:hAnsi="Georgia" w:cs="Times New Roman"/>
          <w:noProof/>
          <w:szCs w:val="24"/>
        </w:rPr>
        <w:t>(1), 77–91. https://doi.org/10.1007/s10649-007-9088-y</w:t>
      </w:r>
    </w:p>
    <w:p w14:paraId="21D58A70"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Timmons, B. W., Leblanc, A. G., Carson, V., Gorber, S. C., Dillman, C., Janssen, I., Kho, M. E., Spence, J. C., Stearns, J. A., &amp; Tremblay, M. S. (2012). Systematic review of physical activity and health in the early years (aged 0-4 years). </w:t>
      </w:r>
      <w:r w:rsidRPr="00D94ADC">
        <w:rPr>
          <w:rFonts w:ascii="Georgia" w:hAnsi="Georgia" w:cs="Times New Roman"/>
          <w:i/>
          <w:iCs/>
          <w:noProof/>
          <w:szCs w:val="24"/>
        </w:rPr>
        <w:t>Applied Physiology, Nutrition and Metabolism</w:t>
      </w:r>
      <w:r w:rsidRPr="00D94ADC">
        <w:rPr>
          <w:rFonts w:ascii="Georgia" w:hAnsi="Georgia" w:cs="Times New Roman"/>
          <w:noProof/>
          <w:szCs w:val="24"/>
        </w:rPr>
        <w:t xml:space="preserve">, </w:t>
      </w:r>
      <w:r w:rsidRPr="00D94ADC">
        <w:rPr>
          <w:rFonts w:ascii="Georgia" w:hAnsi="Georgia" w:cs="Times New Roman"/>
          <w:i/>
          <w:iCs/>
          <w:noProof/>
          <w:szCs w:val="24"/>
        </w:rPr>
        <w:t>37</w:t>
      </w:r>
      <w:r w:rsidRPr="00D94ADC">
        <w:rPr>
          <w:rFonts w:ascii="Georgia" w:hAnsi="Georgia" w:cs="Times New Roman"/>
          <w:noProof/>
          <w:szCs w:val="24"/>
        </w:rPr>
        <w:t>(4), 773–792. https://doi.org/10.1139/H2012-070</w:t>
      </w:r>
    </w:p>
    <w:p w14:paraId="182CAEBA"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Tlhoaele, M., Hofman, A., Winnips, K., &amp; Beetsma, Y. (2014). The impact of interactive engagement methods on students’ academic achievement. </w:t>
      </w:r>
      <w:r w:rsidRPr="00D94ADC">
        <w:rPr>
          <w:rFonts w:ascii="Georgia" w:hAnsi="Georgia" w:cs="Times New Roman"/>
          <w:i/>
          <w:iCs/>
          <w:noProof/>
          <w:szCs w:val="24"/>
        </w:rPr>
        <w:t>Higher Education Research and Development</w:t>
      </w:r>
      <w:r w:rsidRPr="00D94ADC">
        <w:rPr>
          <w:rFonts w:ascii="Georgia" w:hAnsi="Georgia" w:cs="Times New Roman"/>
          <w:noProof/>
          <w:szCs w:val="24"/>
        </w:rPr>
        <w:t xml:space="preserve">, </w:t>
      </w:r>
      <w:r w:rsidRPr="00D94ADC">
        <w:rPr>
          <w:rFonts w:ascii="Georgia" w:hAnsi="Georgia" w:cs="Times New Roman"/>
          <w:i/>
          <w:iCs/>
          <w:noProof/>
          <w:szCs w:val="24"/>
        </w:rPr>
        <w:t>33</w:t>
      </w:r>
      <w:r w:rsidRPr="00D94ADC">
        <w:rPr>
          <w:rFonts w:ascii="Georgia" w:hAnsi="Georgia" w:cs="Times New Roman"/>
          <w:noProof/>
          <w:szCs w:val="24"/>
        </w:rPr>
        <w:t>(5), 1020–1034. https://doi.org/10.1080/07294360.2014.890571</w:t>
      </w:r>
    </w:p>
    <w:p w14:paraId="0537C65A"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Tran, V. D. (2014). The Effects of Cooperative Learning on the Academic Achievement and Knowledge Retention. </w:t>
      </w:r>
      <w:r w:rsidRPr="00D94ADC">
        <w:rPr>
          <w:rFonts w:ascii="Georgia" w:hAnsi="Georgia" w:cs="Times New Roman"/>
          <w:i/>
          <w:iCs/>
          <w:noProof/>
          <w:szCs w:val="24"/>
        </w:rPr>
        <w:t>International Journal of Higher Education</w:t>
      </w:r>
      <w:r w:rsidRPr="00D94ADC">
        <w:rPr>
          <w:rFonts w:ascii="Georgia" w:hAnsi="Georgia" w:cs="Times New Roman"/>
          <w:noProof/>
          <w:szCs w:val="24"/>
        </w:rPr>
        <w:t xml:space="preserve">, </w:t>
      </w:r>
      <w:r w:rsidRPr="00D94ADC">
        <w:rPr>
          <w:rFonts w:ascii="Georgia" w:hAnsi="Georgia" w:cs="Times New Roman"/>
          <w:i/>
          <w:iCs/>
          <w:noProof/>
          <w:szCs w:val="24"/>
        </w:rPr>
        <w:t>3</w:t>
      </w:r>
      <w:r w:rsidRPr="00D94ADC">
        <w:rPr>
          <w:rFonts w:ascii="Georgia" w:hAnsi="Georgia" w:cs="Times New Roman"/>
          <w:noProof/>
          <w:szCs w:val="24"/>
        </w:rPr>
        <w:t>(2), 131–140. https://doi.org/10.5430/ijhe.v3n2p131</w:t>
      </w:r>
    </w:p>
    <w:p w14:paraId="47C127B0"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Visier-Alfonso, M. E., Álvarez-Bueno, C., Sánchez-López, M., Cavero-Redondo, I., Martínez-Hortelano, J. A., Nieto-López, M., &amp; Martínez-Vizcaíno, V. (2021). Fitness and executive function as mediators between physical activity and academic achievement: Mediators between physical activity and academic achievement. </w:t>
      </w:r>
      <w:r w:rsidRPr="00D94ADC">
        <w:rPr>
          <w:rFonts w:ascii="Georgia" w:hAnsi="Georgia" w:cs="Times New Roman"/>
          <w:i/>
          <w:iCs/>
          <w:noProof/>
          <w:szCs w:val="24"/>
        </w:rPr>
        <w:t>Journal of Sports Sciences</w:t>
      </w:r>
      <w:r w:rsidRPr="00D94ADC">
        <w:rPr>
          <w:rFonts w:ascii="Georgia" w:hAnsi="Georgia" w:cs="Times New Roman"/>
          <w:noProof/>
          <w:szCs w:val="24"/>
        </w:rPr>
        <w:t xml:space="preserve">, </w:t>
      </w:r>
      <w:r w:rsidRPr="00D94ADC">
        <w:rPr>
          <w:rFonts w:ascii="Georgia" w:hAnsi="Georgia" w:cs="Times New Roman"/>
          <w:i/>
          <w:iCs/>
          <w:noProof/>
          <w:szCs w:val="24"/>
        </w:rPr>
        <w:t>39</w:t>
      </w:r>
      <w:r w:rsidRPr="00D94ADC">
        <w:rPr>
          <w:rFonts w:ascii="Georgia" w:hAnsi="Georgia" w:cs="Times New Roman"/>
          <w:noProof/>
          <w:szCs w:val="24"/>
        </w:rPr>
        <w:t>(14), 1576–1584. https://doi.org/10.1080/02640414.2021.1886665</w:t>
      </w:r>
    </w:p>
    <w:p w14:paraId="581C5F3B"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Vlachopoulos, D., &amp; Makri, A. (2017). The effect of games and simulations on higher education: a systematic literature review. In </w:t>
      </w:r>
      <w:r w:rsidRPr="00D94ADC">
        <w:rPr>
          <w:rFonts w:ascii="Georgia" w:hAnsi="Georgia" w:cs="Times New Roman"/>
          <w:i/>
          <w:iCs/>
          <w:noProof/>
          <w:szCs w:val="24"/>
        </w:rPr>
        <w:t>International Journal of Educational Technology in Higher Education</w:t>
      </w:r>
      <w:r w:rsidRPr="00D94ADC">
        <w:rPr>
          <w:rFonts w:ascii="Georgia" w:hAnsi="Georgia" w:cs="Times New Roman"/>
          <w:noProof/>
          <w:szCs w:val="24"/>
        </w:rPr>
        <w:t xml:space="preserve"> (Vol. 14, Issue 1). https://doi.org/10.1186/s41239-017-0062-1</w:t>
      </w:r>
    </w:p>
    <w:p w14:paraId="4C0F45AB" w14:textId="77777777" w:rsidR="00881618" w:rsidRDefault="00D94ADC" w:rsidP="00881618">
      <w:pPr>
        <w:widowControl w:val="0"/>
        <w:autoSpaceDE w:val="0"/>
        <w:autoSpaceDN w:val="0"/>
        <w:adjustRightInd w:val="0"/>
        <w:spacing w:after="0" w:line="240" w:lineRule="auto"/>
        <w:ind w:left="480" w:hanging="480"/>
        <w:jc w:val="both"/>
        <w:rPr>
          <w:rFonts w:ascii="Georgia" w:hAnsi="Georgia" w:cs="Times New Roman"/>
          <w:noProof/>
          <w:szCs w:val="24"/>
          <w:lang w:val="en-US"/>
        </w:rPr>
      </w:pPr>
      <w:r w:rsidRPr="00D94ADC">
        <w:rPr>
          <w:rFonts w:ascii="Georgia" w:hAnsi="Georgia" w:cs="Times New Roman"/>
          <w:noProof/>
          <w:szCs w:val="24"/>
        </w:rPr>
        <w:t xml:space="preserve">Wattanawongwan, S., Smith, S. D., &amp; Vannest, K. J. (2021). Cooperative Learning Strategies for Building Relationship Skills in Students With Emotional and Behavioral Disorders. </w:t>
      </w:r>
      <w:r w:rsidRPr="00D94ADC">
        <w:rPr>
          <w:rFonts w:ascii="Georgia" w:hAnsi="Georgia" w:cs="Times New Roman"/>
          <w:i/>
          <w:iCs/>
          <w:noProof/>
          <w:szCs w:val="24"/>
        </w:rPr>
        <w:t>Beyond Behavior</w:t>
      </w:r>
      <w:r w:rsidRPr="00D94ADC">
        <w:rPr>
          <w:rFonts w:ascii="Georgia" w:hAnsi="Georgia" w:cs="Times New Roman"/>
          <w:noProof/>
          <w:szCs w:val="24"/>
        </w:rPr>
        <w:t xml:space="preserve">, </w:t>
      </w:r>
      <w:r w:rsidRPr="00D94ADC">
        <w:rPr>
          <w:rFonts w:ascii="Georgia" w:hAnsi="Georgia" w:cs="Times New Roman"/>
          <w:i/>
          <w:iCs/>
          <w:noProof/>
          <w:szCs w:val="24"/>
        </w:rPr>
        <w:t>30</w:t>
      </w:r>
      <w:r w:rsidRPr="00D94ADC">
        <w:rPr>
          <w:rFonts w:ascii="Georgia" w:hAnsi="Georgia" w:cs="Times New Roman"/>
          <w:noProof/>
          <w:szCs w:val="24"/>
        </w:rPr>
        <w:t>(1), 32–40. https://doi.org/10.1177/1074295621997599</w:t>
      </w:r>
    </w:p>
    <w:p w14:paraId="7B462DAB" w14:textId="6C2F4FA5" w:rsidR="00881618" w:rsidRPr="00881618" w:rsidRDefault="00881618" w:rsidP="00881618">
      <w:pPr>
        <w:widowControl w:val="0"/>
        <w:autoSpaceDE w:val="0"/>
        <w:autoSpaceDN w:val="0"/>
        <w:adjustRightInd w:val="0"/>
        <w:spacing w:after="0" w:line="240" w:lineRule="auto"/>
        <w:ind w:left="480" w:hanging="480"/>
        <w:jc w:val="both"/>
        <w:rPr>
          <w:rFonts w:ascii="Georgia" w:hAnsi="Georgia" w:cs="Times New Roman"/>
          <w:noProof/>
          <w:szCs w:val="24"/>
          <w:lang w:val="en-US"/>
        </w:rPr>
      </w:pPr>
      <w:r w:rsidRPr="00881618">
        <w:rPr>
          <w:rFonts w:ascii="Georgia" w:hAnsi="Georgia"/>
        </w:rPr>
        <w:t>WHO. (2016). Report of the commission on ending childhood obesity. Retrieved from http://apps.who.int/iris/bitstream/10665/204176/1/ 9789241510066_eng.pdf?ua=1</w:t>
      </w:r>
    </w:p>
    <w:p w14:paraId="2DA4FC36"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Wu, P. P. Y., Babaei, T., O’Shea, M., Mengersen, K., Drovandi, C., McGibbon, K. E., Pyne, D. B., Mitchell, L. J. G., &amp; Osborne, M. A. (2021). Predicting performance in 4 x 200-m freestyle swimming relay events. </w:t>
      </w:r>
      <w:r w:rsidRPr="00D94ADC">
        <w:rPr>
          <w:rFonts w:ascii="Georgia" w:hAnsi="Georgia" w:cs="Times New Roman"/>
          <w:i/>
          <w:iCs/>
          <w:noProof/>
          <w:szCs w:val="24"/>
        </w:rPr>
        <w:t>PLoS ONE</w:t>
      </w:r>
      <w:r w:rsidRPr="00D94ADC">
        <w:rPr>
          <w:rFonts w:ascii="Georgia" w:hAnsi="Georgia" w:cs="Times New Roman"/>
          <w:noProof/>
          <w:szCs w:val="24"/>
        </w:rPr>
        <w:t xml:space="preserve">, </w:t>
      </w:r>
      <w:r w:rsidRPr="00D94ADC">
        <w:rPr>
          <w:rFonts w:ascii="Georgia" w:hAnsi="Georgia" w:cs="Times New Roman"/>
          <w:i/>
          <w:iCs/>
          <w:noProof/>
          <w:szCs w:val="24"/>
        </w:rPr>
        <w:t>16</w:t>
      </w:r>
      <w:r w:rsidRPr="00D94ADC">
        <w:rPr>
          <w:rFonts w:ascii="Georgia" w:hAnsi="Georgia" w:cs="Times New Roman"/>
          <w:noProof/>
          <w:szCs w:val="24"/>
        </w:rPr>
        <w:t>(7 July), 1–13. https://doi.org/10.1371/journal.pone.0254538</w:t>
      </w:r>
    </w:p>
    <w:p w14:paraId="2D6C7C7C" w14:textId="354541D1" w:rsidR="00D94ADC" w:rsidRPr="00D94ADC" w:rsidRDefault="00D94ADC" w:rsidP="00D94ADC">
      <w:pPr>
        <w:widowControl w:val="0"/>
        <w:autoSpaceDE w:val="0"/>
        <w:autoSpaceDN w:val="0"/>
        <w:adjustRightInd w:val="0"/>
        <w:spacing w:after="0" w:line="240" w:lineRule="auto"/>
        <w:ind w:left="480" w:hanging="480"/>
        <w:jc w:val="both"/>
        <w:rPr>
          <w:rFonts w:ascii="Georgia" w:hAnsi="Georgia" w:cs="Times New Roman"/>
          <w:noProof/>
          <w:szCs w:val="24"/>
        </w:rPr>
      </w:pPr>
      <w:r w:rsidRPr="00D94ADC">
        <w:rPr>
          <w:rFonts w:ascii="Georgia" w:hAnsi="Georgia" w:cs="Times New Roman"/>
          <w:noProof/>
          <w:szCs w:val="24"/>
        </w:rPr>
        <w:t xml:space="preserve">Wyk, M. M. van. (2011). The </w:t>
      </w:r>
      <w:r w:rsidR="009F796F" w:rsidRPr="00D94ADC">
        <w:rPr>
          <w:rFonts w:ascii="Georgia" w:hAnsi="Georgia" w:cs="Times New Roman"/>
          <w:noProof/>
          <w:szCs w:val="24"/>
        </w:rPr>
        <w:t>effects of teams-games-tournaments on achievement, retention, and attitudes of economics education students</w:t>
      </w:r>
      <w:r w:rsidRPr="00D94ADC">
        <w:rPr>
          <w:rFonts w:ascii="Georgia" w:hAnsi="Georgia" w:cs="Times New Roman"/>
          <w:noProof/>
          <w:szCs w:val="24"/>
        </w:rPr>
        <w:t xml:space="preserve">. </w:t>
      </w:r>
      <w:r w:rsidRPr="00D94ADC">
        <w:rPr>
          <w:rFonts w:ascii="Georgia" w:hAnsi="Georgia" w:cs="Times New Roman"/>
          <w:i/>
          <w:iCs/>
          <w:noProof/>
          <w:szCs w:val="24"/>
        </w:rPr>
        <w:t>Journal of Social Sciences</w:t>
      </w:r>
      <w:r w:rsidRPr="00D94ADC">
        <w:rPr>
          <w:rFonts w:ascii="Georgia" w:hAnsi="Georgia" w:cs="Times New Roman"/>
          <w:noProof/>
          <w:szCs w:val="24"/>
        </w:rPr>
        <w:t xml:space="preserve">, </w:t>
      </w:r>
      <w:r w:rsidRPr="00D94ADC">
        <w:rPr>
          <w:rFonts w:ascii="Georgia" w:hAnsi="Georgia" w:cs="Times New Roman"/>
          <w:i/>
          <w:iCs/>
          <w:noProof/>
          <w:szCs w:val="24"/>
        </w:rPr>
        <w:t>26</w:t>
      </w:r>
      <w:r w:rsidRPr="00D94ADC">
        <w:rPr>
          <w:rFonts w:ascii="Georgia" w:hAnsi="Georgia" w:cs="Times New Roman"/>
          <w:noProof/>
          <w:szCs w:val="24"/>
        </w:rPr>
        <w:t>(3), 183–193. https://doi.org/10.1080/09718923.2011.11892895</w:t>
      </w:r>
    </w:p>
    <w:p w14:paraId="35F064DC" w14:textId="77777777" w:rsidR="00D94ADC" w:rsidRPr="00D94ADC" w:rsidRDefault="00D94ADC" w:rsidP="00D94ADC">
      <w:pPr>
        <w:widowControl w:val="0"/>
        <w:autoSpaceDE w:val="0"/>
        <w:autoSpaceDN w:val="0"/>
        <w:adjustRightInd w:val="0"/>
        <w:spacing w:after="0" w:line="240" w:lineRule="auto"/>
        <w:ind w:left="480" w:hanging="480"/>
        <w:jc w:val="both"/>
        <w:rPr>
          <w:rFonts w:ascii="Georgia" w:hAnsi="Georgia"/>
          <w:noProof/>
        </w:rPr>
      </w:pPr>
      <w:r w:rsidRPr="00D94ADC">
        <w:rPr>
          <w:rFonts w:ascii="Georgia" w:hAnsi="Georgia" w:cs="Times New Roman"/>
          <w:noProof/>
          <w:szCs w:val="24"/>
        </w:rPr>
        <w:t xml:space="preserve">Wyman, P. J., &amp; Watson, S. B. (2020). Academic achievement with cooperative learning using homogeneous and heterogeneous groups. </w:t>
      </w:r>
      <w:r w:rsidRPr="00D94ADC">
        <w:rPr>
          <w:rFonts w:ascii="Georgia" w:hAnsi="Georgia" w:cs="Times New Roman"/>
          <w:i/>
          <w:iCs/>
          <w:noProof/>
          <w:szCs w:val="24"/>
        </w:rPr>
        <w:t>School Science and Mathematics</w:t>
      </w:r>
      <w:r w:rsidRPr="00D94ADC">
        <w:rPr>
          <w:rFonts w:ascii="Georgia" w:hAnsi="Georgia" w:cs="Times New Roman"/>
          <w:noProof/>
          <w:szCs w:val="24"/>
        </w:rPr>
        <w:t xml:space="preserve">, </w:t>
      </w:r>
      <w:r w:rsidRPr="00D94ADC">
        <w:rPr>
          <w:rFonts w:ascii="Georgia" w:hAnsi="Georgia" w:cs="Times New Roman"/>
          <w:i/>
          <w:iCs/>
          <w:noProof/>
          <w:szCs w:val="24"/>
        </w:rPr>
        <w:t>120</w:t>
      </w:r>
      <w:r w:rsidRPr="00D94ADC">
        <w:rPr>
          <w:rFonts w:ascii="Georgia" w:hAnsi="Georgia" w:cs="Times New Roman"/>
          <w:noProof/>
          <w:szCs w:val="24"/>
        </w:rPr>
        <w:t>(6), 356–363. https://doi.org/10.1111/ssm.12427</w:t>
      </w:r>
    </w:p>
    <w:p w14:paraId="09E797F3" w14:textId="4DC318C7" w:rsidR="00D94ADC" w:rsidRPr="00991E90" w:rsidRDefault="00D94ADC" w:rsidP="00D94ADC">
      <w:pPr>
        <w:spacing w:after="0" w:line="240" w:lineRule="auto"/>
        <w:jc w:val="both"/>
        <w:rPr>
          <w:rFonts w:ascii="Georgia" w:hAnsi="Georgia" w:cs="Times New Roman"/>
          <w:lang w:val="en-US"/>
        </w:rPr>
      </w:pPr>
      <w:r>
        <w:rPr>
          <w:rFonts w:ascii="Georgia" w:hAnsi="Georgia" w:cs="Times New Roman"/>
          <w:lang w:val="en-US"/>
        </w:rPr>
        <w:fldChar w:fldCharType="end"/>
      </w:r>
    </w:p>
    <w:sectPr w:rsidR="00D94ADC" w:rsidRPr="00991E90" w:rsidSect="0065735E">
      <w:headerReference w:type="even" r:id="rId21"/>
      <w:headerReference w:type="default" r:id="rId22"/>
      <w:footerReference w:type="even" r:id="rId23"/>
      <w:footerReference w:type="default" r:id="rId24"/>
      <w:footerReference w:type="first" r:id="rId25"/>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325DF1" w14:textId="77777777" w:rsidR="00E61869" w:rsidRDefault="00E61869">
      <w:pPr>
        <w:spacing w:after="0" w:line="240" w:lineRule="auto"/>
      </w:pPr>
      <w:r>
        <w:separator/>
      </w:r>
    </w:p>
  </w:endnote>
  <w:endnote w:type="continuationSeparator" w:id="0">
    <w:p w14:paraId="01A0B889" w14:textId="77777777" w:rsidR="00E61869" w:rsidRDefault="00E61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AdvTT3713a231">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dvTT50a2f13e.I">
    <w:panose1 w:val="00000000000000000000"/>
    <w:charset w:val="00"/>
    <w:family w:val="swiss"/>
    <w:notTrueType/>
    <w:pitch w:val="default"/>
    <w:sig w:usb0="00000003" w:usb1="00000000" w:usb2="00000000" w:usb3="00000000" w:csb0="00000001" w:csb1="00000000"/>
  </w:font>
  <w:font w:name="Lato">
    <w:altName w:val="Calibri"/>
    <w:charset w:val="00"/>
    <w:family w:val="swiss"/>
    <w:pitch w:val="variable"/>
    <w:sig w:usb0="00000001" w:usb1="5000604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sz w:val="18"/>
        <w:szCs w:val="18"/>
      </w:rPr>
      <w:id w:val="52741093"/>
      <w:docPartObj>
        <w:docPartGallery w:val="Page Numbers (Bottom of Page)"/>
        <w:docPartUnique/>
      </w:docPartObj>
    </w:sdtPr>
    <w:sdtContent>
      <w:sdt>
        <w:sdtPr>
          <w:rPr>
            <w:rFonts w:ascii="Lato" w:hAnsi="Lato"/>
            <w:sz w:val="18"/>
            <w:szCs w:val="18"/>
          </w:rPr>
          <w:id w:val="-2036958135"/>
          <w:docPartObj>
            <w:docPartGallery w:val="Page Numbers (Top of Page)"/>
            <w:docPartUnique/>
          </w:docPartObj>
        </w:sdtPr>
        <w:sdtContent>
          <w:p w14:paraId="40D87C72" w14:textId="77777777" w:rsidR="00F9134C" w:rsidRPr="00F936B2" w:rsidRDefault="00F9134C" w:rsidP="0030123D">
            <w:pPr>
              <w:pStyle w:val="Footer"/>
              <w:jc w:val="center"/>
              <w:rPr>
                <w:rFonts w:ascii="Lato" w:hAnsi="Lato"/>
                <w:sz w:val="18"/>
                <w:szCs w:val="18"/>
              </w:rPr>
            </w:pPr>
          </w:p>
          <w:p w14:paraId="4C2AF8DB" w14:textId="77777777" w:rsidR="00F9134C" w:rsidRPr="00F936B2" w:rsidRDefault="00F9134C"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9F796F">
              <w:rPr>
                <w:rFonts w:ascii="Lato" w:hAnsi="Lato"/>
                <w:bCs/>
                <w:noProof/>
                <w:sz w:val="18"/>
                <w:szCs w:val="18"/>
              </w:rPr>
              <w:t>8</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sz w:val="18"/>
        <w:szCs w:val="18"/>
      </w:rPr>
      <w:id w:val="1642917024"/>
      <w:docPartObj>
        <w:docPartGallery w:val="Page Numbers (Bottom of Page)"/>
        <w:docPartUnique/>
      </w:docPartObj>
    </w:sdtPr>
    <w:sdtContent>
      <w:sdt>
        <w:sdtPr>
          <w:rPr>
            <w:rFonts w:ascii="Lato" w:hAnsi="Lato"/>
            <w:sz w:val="18"/>
            <w:szCs w:val="18"/>
          </w:rPr>
          <w:id w:val="365021202"/>
          <w:docPartObj>
            <w:docPartGallery w:val="Page Numbers (Top of Page)"/>
            <w:docPartUnique/>
          </w:docPartObj>
        </w:sdtPr>
        <w:sdtContent>
          <w:p w14:paraId="50C49368" w14:textId="77777777" w:rsidR="00F9134C" w:rsidRPr="00F936B2" w:rsidRDefault="00F9134C" w:rsidP="00CA133C">
            <w:pPr>
              <w:pStyle w:val="Footer"/>
              <w:jc w:val="center"/>
              <w:rPr>
                <w:rFonts w:ascii="Lato" w:hAnsi="Lato"/>
                <w:sz w:val="18"/>
                <w:szCs w:val="18"/>
              </w:rPr>
            </w:pPr>
          </w:p>
          <w:p w14:paraId="2057E562" w14:textId="77777777" w:rsidR="00F9134C" w:rsidRPr="00F936B2" w:rsidRDefault="00F9134C"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9F796F">
              <w:rPr>
                <w:rFonts w:ascii="Lato" w:hAnsi="Lato"/>
                <w:bCs/>
                <w:noProof/>
                <w:sz w:val="18"/>
                <w:szCs w:val="18"/>
              </w:rPr>
              <w:t>7</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7</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FEF2D" w14:textId="68EDE5ED" w:rsidR="00F9134C" w:rsidRPr="007F1160" w:rsidRDefault="00F9134C"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rPr>
      <w:t>Volume</w:t>
    </w:r>
    <w:proofErr w:type="gramStart"/>
    <w:r w:rsidRPr="007F1160">
      <w:rPr>
        <w:rStyle w:val="kcmread1114"/>
        <w:rFonts w:ascii="Georgia" w:hAnsi="Georgia" w:cs="Times New Roman"/>
        <w:sz w:val="16"/>
      </w:rPr>
      <w:t>;issue</w:t>
    </w:r>
    <w:proofErr w:type="gramEnd"/>
    <w:r w:rsidRPr="007F1160">
      <w:rPr>
        <w:rStyle w:val="kcmread1114"/>
        <w:rFonts w:ascii="Georgia" w:hAnsi="Georgia" w:cs="Times New Roman"/>
        <w:sz w:val="16"/>
      </w:rPr>
      <w:t>;month;year</w:t>
    </w:r>
  </w:p>
  <w:p w14:paraId="7A575CA6" w14:textId="582E2867" w:rsidR="00F9134C" w:rsidRPr="007F1160" w:rsidRDefault="00F9134C"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Received date month year; Received in revised form date month year; Accepted  date month year</w:t>
    </w:r>
    <w:r w:rsidRPr="007F1160">
      <w:rPr>
        <w:rStyle w:val="kcmread1114"/>
        <w:rFonts w:ascii="Georgia" w:hAnsi="Georgia" w:cs="Times New Roman"/>
        <w:sz w:val="16"/>
      </w:rPr>
      <w:t>;</w:t>
    </w:r>
    <w:r w:rsidRPr="007F1160">
      <w:rPr>
        <w:rStyle w:val="kcmread1114"/>
        <w:rFonts w:ascii="Georgia" w:hAnsi="Georgia" w:cs="Times New Roman"/>
        <w:sz w:val="16"/>
        <w:lang w:val="id-ID"/>
      </w:rPr>
      <w:t xml:space="preserve"> Available online date month year</w:t>
    </w:r>
  </w:p>
  <w:p w14:paraId="4D87A6EA" w14:textId="32D2C14F" w:rsidR="00F9134C" w:rsidRPr="00723B12" w:rsidRDefault="00F9134C"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Pr="007F1160">
      <w:rPr>
        <w:rFonts w:ascii="Georgia" w:hAnsi="Georgia" w:cs="Arial"/>
        <w:color w:val="333333"/>
        <w:sz w:val="16"/>
        <w:szCs w:val="16"/>
        <w:shd w:val="clear" w:color="auto" w:fill="FFFFFF"/>
      </w:rPr>
      <w:t>a </w:t>
    </w:r>
    <w:hyperlink r:id="rId1" w:history="1">
      <w:r w:rsidRPr="007F1160">
        <w:rPr>
          <w:rStyle w:val="Hyperlink"/>
          <w:rFonts w:ascii="Georgia" w:hAnsi="Georgia" w:cs="Arial"/>
          <w:color w:val="0D355E"/>
          <w:sz w:val="16"/>
          <w:szCs w:val="16"/>
          <w:shd w:val="clear" w:color="auto" w:fill="FFFFFF"/>
        </w:rPr>
        <w:t>Creative Commons Attribution-NonCommercial-ShareAlike 4.0 International License</w:t>
      </w:r>
    </w:hyperlink>
    <w:r w:rsidRPr="007F1160">
      <w:rPr>
        <w:rFonts w:ascii="Georgia" w:hAnsi="Georgia" w:cs="Arial"/>
        <w:color w:val="333333"/>
        <w:sz w:val="16"/>
        <w:szCs w:val="16"/>
        <w:shd w:val="clear" w:color="auto" w:fill="FFFFFF"/>
      </w:rPr>
      <w:t>.</w:t>
    </w:r>
  </w:p>
  <w:p w14:paraId="048A3B34" w14:textId="7DD0EB8E" w:rsidR="00F9134C" w:rsidRPr="00723B12" w:rsidRDefault="00F9134C"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DBC191" w14:textId="77777777" w:rsidR="00E61869" w:rsidRDefault="00E61869">
      <w:pPr>
        <w:spacing w:after="0" w:line="240" w:lineRule="auto"/>
      </w:pPr>
      <w:r>
        <w:separator/>
      </w:r>
    </w:p>
  </w:footnote>
  <w:footnote w:type="continuationSeparator" w:id="0">
    <w:p w14:paraId="30A1DE4B" w14:textId="77777777" w:rsidR="00E61869" w:rsidRDefault="00E61869">
      <w:pPr>
        <w:spacing w:after="0" w:line="240" w:lineRule="auto"/>
      </w:pPr>
      <w:r>
        <w:continuationSeparator/>
      </w:r>
    </w:p>
  </w:footnote>
  <w:footnote w:id="1">
    <w:p w14:paraId="259917C7" w14:textId="0B4A4193" w:rsidR="00F9134C" w:rsidRPr="00DA5473" w:rsidRDefault="00F9134C" w:rsidP="00DA5473">
      <w:pPr>
        <w:pStyle w:val="NoSpacing"/>
        <w:jc w:val="both"/>
        <w:rPr>
          <w:rFonts w:ascii="Georgia" w:hAnsi="Georgia"/>
          <w:sz w:val="18"/>
          <w:szCs w:val="18"/>
          <w:lang w:val="en-US"/>
        </w:rPr>
      </w:pPr>
      <w:r w:rsidRPr="007F1160">
        <w:rPr>
          <w:rStyle w:val="FootnoteReference"/>
          <w:rFonts w:ascii="Georgia" w:hAnsi="Georgia"/>
          <w:sz w:val="18"/>
          <w:szCs w:val="18"/>
        </w:rPr>
        <w:footnoteRef/>
      </w:r>
      <w:r w:rsidRPr="007F1160">
        <w:rPr>
          <w:rFonts w:ascii="Georgia" w:hAnsi="Georgia"/>
          <w:sz w:val="18"/>
          <w:szCs w:val="18"/>
        </w:rPr>
        <w:t xml:space="preserve"> </w:t>
      </w:r>
      <w:r w:rsidR="00DA5473">
        <w:rPr>
          <w:rFonts w:ascii="Georgia" w:hAnsi="Georgia"/>
          <w:sz w:val="18"/>
          <w:szCs w:val="18"/>
          <w:lang w:val="en-US"/>
        </w:rPr>
        <w:t>Program Studi Pendidikan Jasmani, Olahraga, Kesehatan dan Rekreasi, Fakultas Keguruan dan Ilmu Pendidikan, Universitas Pattimura, Ambon-Indonesia.</w:t>
      </w:r>
    </w:p>
    <w:p w14:paraId="7FEE25E2" w14:textId="41BCE202" w:rsidR="00F9134C" w:rsidRPr="00A25A6E" w:rsidRDefault="00A25A6E" w:rsidP="00B24C2D">
      <w:pPr>
        <w:pStyle w:val="NoSpacing"/>
        <w:rPr>
          <w:rFonts w:ascii="Georgia" w:hAnsi="Georgia"/>
          <w:sz w:val="18"/>
          <w:szCs w:val="18"/>
          <w:lang w:val="en-US"/>
        </w:rPr>
      </w:pPr>
      <w:r>
        <w:rPr>
          <w:rFonts w:ascii="Georgia" w:hAnsi="Georgia"/>
          <w:sz w:val="18"/>
          <w:szCs w:val="18"/>
        </w:rPr>
        <w:t xml:space="preserve">Email: </w:t>
      </w:r>
      <w:r>
        <w:rPr>
          <w:rFonts w:ascii="Georgia" w:hAnsi="Georgia"/>
          <w:sz w:val="18"/>
          <w:szCs w:val="18"/>
          <w:lang w:val="en-US"/>
        </w:rPr>
        <w:t>fenanlampir29@gmail.com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77777777" w:rsidR="00F9134C" w:rsidRPr="0065735E" w:rsidRDefault="00F9134C"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1E8E38B7" w14:textId="77777777" w:rsidR="00F9134C" w:rsidRPr="0065735E" w:rsidRDefault="00F9134C"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CAEFD68" w:rsidR="00F9134C" w:rsidRPr="0065735E" w:rsidRDefault="00F9134C"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F9134C" w:rsidRPr="0065735E" w:rsidRDefault="00F9134C"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48F12889" w14:textId="77777777" w:rsidR="00F9134C" w:rsidRPr="0065735E" w:rsidRDefault="00F9134C"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F9134C" w:rsidRDefault="00F9134C"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r w:rsidRPr="0065735E">
              <w:rPr>
                <w:rStyle w:val="kcmread1114"/>
                <w:rFonts w:ascii="Georgia" w:hAnsi="Georgia"/>
                <w:i/>
                <w:iCs/>
                <w:sz w:val="16"/>
                <w:szCs w:val="16"/>
                <w:lang w:val="en-US"/>
              </w:rPr>
              <w:t>Manucript Title</w:t>
            </w:r>
          </w:p>
        </w:sdtContent>
      </w:sdt>
      <w:p w14:paraId="5CBC56EE" w14:textId="406E3C13" w:rsidR="00F9134C" w:rsidRPr="0030123D" w:rsidRDefault="00F9134C" w:rsidP="00D704E1">
        <w:pPr>
          <w:pStyle w:val="Header"/>
          <w:pBdr>
            <w:bottom w:val="single" w:sz="4" w:space="1" w:color="D9D9D9" w:themeColor="background1" w:themeShade="D9"/>
          </w:pBdr>
          <w:jc w:val="both"/>
          <w:rPr>
            <w:rFonts w:ascii="Lato" w:hAnsi="Lato"/>
            <w:b/>
            <w:bCs/>
            <w:sz w:val="18"/>
            <w:szCs w:val="18"/>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DC3"/>
    <w:rsid w:val="000028A5"/>
    <w:rsid w:val="00004FDF"/>
    <w:rsid w:val="00005BD6"/>
    <w:rsid w:val="00015F53"/>
    <w:rsid w:val="000408CE"/>
    <w:rsid w:val="00041533"/>
    <w:rsid w:val="000424B6"/>
    <w:rsid w:val="00045523"/>
    <w:rsid w:val="000820F5"/>
    <w:rsid w:val="00091BE6"/>
    <w:rsid w:val="00094FCA"/>
    <w:rsid w:val="00096362"/>
    <w:rsid w:val="000A1372"/>
    <w:rsid w:val="000A3754"/>
    <w:rsid w:val="000B4327"/>
    <w:rsid w:val="000B558A"/>
    <w:rsid w:val="000C6592"/>
    <w:rsid w:val="000D63D4"/>
    <w:rsid w:val="000E10A5"/>
    <w:rsid w:val="000F6DAB"/>
    <w:rsid w:val="00141559"/>
    <w:rsid w:val="00142499"/>
    <w:rsid w:val="001502B9"/>
    <w:rsid w:val="00153686"/>
    <w:rsid w:val="00161610"/>
    <w:rsid w:val="001777DE"/>
    <w:rsid w:val="00187215"/>
    <w:rsid w:val="00187664"/>
    <w:rsid w:val="00191E4B"/>
    <w:rsid w:val="00195DC3"/>
    <w:rsid w:val="001A1C1B"/>
    <w:rsid w:val="001A43E8"/>
    <w:rsid w:val="001B028C"/>
    <w:rsid w:val="001B56A4"/>
    <w:rsid w:val="001C1C20"/>
    <w:rsid w:val="001C1DBB"/>
    <w:rsid w:val="001C21B2"/>
    <w:rsid w:val="001C673F"/>
    <w:rsid w:val="001D13B2"/>
    <w:rsid w:val="001E6580"/>
    <w:rsid w:val="001F6AAB"/>
    <w:rsid w:val="001F6D0F"/>
    <w:rsid w:val="00226D20"/>
    <w:rsid w:val="002337D9"/>
    <w:rsid w:val="0024265C"/>
    <w:rsid w:val="00242F1D"/>
    <w:rsid w:val="00276A73"/>
    <w:rsid w:val="00293448"/>
    <w:rsid w:val="002B204C"/>
    <w:rsid w:val="002E1B85"/>
    <w:rsid w:val="002E5A4F"/>
    <w:rsid w:val="002F7B5D"/>
    <w:rsid w:val="00300E55"/>
    <w:rsid w:val="0030123D"/>
    <w:rsid w:val="00310E75"/>
    <w:rsid w:val="00326C4D"/>
    <w:rsid w:val="00337425"/>
    <w:rsid w:val="00342595"/>
    <w:rsid w:val="00352A81"/>
    <w:rsid w:val="0036228A"/>
    <w:rsid w:val="003660BD"/>
    <w:rsid w:val="00367FD6"/>
    <w:rsid w:val="00374492"/>
    <w:rsid w:val="00386B0D"/>
    <w:rsid w:val="00387EBE"/>
    <w:rsid w:val="00393069"/>
    <w:rsid w:val="003979C0"/>
    <w:rsid w:val="003B1980"/>
    <w:rsid w:val="003B2EC2"/>
    <w:rsid w:val="003C335A"/>
    <w:rsid w:val="003D31E3"/>
    <w:rsid w:val="003D7C70"/>
    <w:rsid w:val="003D7FCF"/>
    <w:rsid w:val="003F08C4"/>
    <w:rsid w:val="003F41DE"/>
    <w:rsid w:val="00401189"/>
    <w:rsid w:val="00405823"/>
    <w:rsid w:val="0041029B"/>
    <w:rsid w:val="004120BF"/>
    <w:rsid w:val="0042021D"/>
    <w:rsid w:val="0043413B"/>
    <w:rsid w:val="004535E1"/>
    <w:rsid w:val="004653DE"/>
    <w:rsid w:val="00473859"/>
    <w:rsid w:val="00482CCD"/>
    <w:rsid w:val="004877B4"/>
    <w:rsid w:val="00491ED4"/>
    <w:rsid w:val="004A2253"/>
    <w:rsid w:val="004B4465"/>
    <w:rsid w:val="004C5D74"/>
    <w:rsid w:val="004D042C"/>
    <w:rsid w:val="004D0B4C"/>
    <w:rsid w:val="004D277C"/>
    <w:rsid w:val="004D6996"/>
    <w:rsid w:val="004F5E88"/>
    <w:rsid w:val="00516CED"/>
    <w:rsid w:val="005272FD"/>
    <w:rsid w:val="005336ED"/>
    <w:rsid w:val="00540BD8"/>
    <w:rsid w:val="00556FCE"/>
    <w:rsid w:val="00581463"/>
    <w:rsid w:val="0058628C"/>
    <w:rsid w:val="00597D22"/>
    <w:rsid w:val="005A1346"/>
    <w:rsid w:val="005C6962"/>
    <w:rsid w:val="005F6D5B"/>
    <w:rsid w:val="00603B75"/>
    <w:rsid w:val="00637B7B"/>
    <w:rsid w:val="00653CA6"/>
    <w:rsid w:val="0065735E"/>
    <w:rsid w:val="0066338E"/>
    <w:rsid w:val="006A29D7"/>
    <w:rsid w:val="006B7783"/>
    <w:rsid w:val="006C512B"/>
    <w:rsid w:val="006D254A"/>
    <w:rsid w:val="006D63C8"/>
    <w:rsid w:val="006E3060"/>
    <w:rsid w:val="006F182D"/>
    <w:rsid w:val="00703ADE"/>
    <w:rsid w:val="00722E91"/>
    <w:rsid w:val="00723B12"/>
    <w:rsid w:val="00725EF5"/>
    <w:rsid w:val="007343F6"/>
    <w:rsid w:val="0075431F"/>
    <w:rsid w:val="00755E63"/>
    <w:rsid w:val="00763C7D"/>
    <w:rsid w:val="00764D06"/>
    <w:rsid w:val="00771C4F"/>
    <w:rsid w:val="00775D97"/>
    <w:rsid w:val="00775EA7"/>
    <w:rsid w:val="00796244"/>
    <w:rsid w:val="007C0351"/>
    <w:rsid w:val="007E7FDA"/>
    <w:rsid w:val="007F1160"/>
    <w:rsid w:val="00800DD9"/>
    <w:rsid w:val="00803B26"/>
    <w:rsid w:val="00821460"/>
    <w:rsid w:val="0084200B"/>
    <w:rsid w:val="008471FC"/>
    <w:rsid w:val="00855965"/>
    <w:rsid w:val="00864A87"/>
    <w:rsid w:val="00874F23"/>
    <w:rsid w:val="00881618"/>
    <w:rsid w:val="00882628"/>
    <w:rsid w:val="00891D0D"/>
    <w:rsid w:val="008A1E16"/>
    <w:rsid w:val="008A2DFB"/>
    <w:rsid w:val="008B059D"/>
    <w:rsid w:val="008B1E71"/>
    <w:rsid w:val="008C02A7"/>
    <w:rsid w:val="008C27BC"/>
    <w:rsid w:val="008D29EC"/>
    <w:rsid w:val="008D3325"/>
    <w:rsid w:val="008D7C26"/>
    <w:rsid w:val="008E2205"/>
    <w:rsid w:val="00901769"/>
    <w:rsid w:val="009029D4"/>
    <w:rsid w:val="00905FA1"/>
    <w:rsid w:val="009324F7"/>
    <w:rsid w:val="0094100F"/>
    <w:rsid w:val="00954C41"/>
    <w:rsid w:val="0097226D"/>
    <w:rsid w:val="0098757D"/>
    <w:rsid w:val="00991E90"/>
    <w:rsid w:val="009B5B51"/>
    <w:rsid w:val="009B60A8"/>
    <w:rsid w:val="009D2B09"/>
    <w:rsid w:val="009E125C"/>
    <w:rsid w:val="009F796F"/>
    <w:rsid w:val="00A06BAD"/>
    <w:rsid w:val="00A1672C"/>
    <w:rsid w:val="00A225F2"/>
    <w:rsid w:val="00A23AD4"/>
    <w:rsid w:val="00A25076"/>
    <w:rsid w:val="00A25A6E"/>
    <w:rsid w:val="00A7114B"/>
    <w:rsid w:val="00AB7C2C"/>
    <w:rsid w:val="00AC6481"/>
    <w:rsid w:val="00AD6B1A"/>
    <w:rsid w:val="00AE1FCF"/>
    <w:rsid w:val="00AF5ACA"/>
    <w:rsid w:val="00B04340"/>
    <w:rsid w:val="00B10F0A"/>
    <w:rsid w:val="00B24C2D"/>
    <w:rsid w:val="00B252FF"/>
    <w:rsid w:val="00B3687F"/>
    <w:rsid w:val="00B43467"/>
    <w:rsid w:val="00B55E4A"/>
    <w:rsid w:val="00B61CA0"/>
    <w:rsid w:val="00B65D97"/>
    <w:rsid w:val="00B704BD"/>
    <w:rsid w:val="00BA27F0"/>
    <w:rsid w:val="00BA7B6A"/>
    <w:rsid w:val="00BC2EA3"/>
    <w:rsid w:val="00BD21A9"/>
    <w:rsid w:val="00BF4CE2"/>
    <w:rsid w:val="00C10B2A"/>
    <w:rsid w:val="00C20E80"/>
    <w:rsid w:val="00C3308B"/>
    <w:rsid w:val="00C7214D"/>
    <w:rsid w:val="00C73B8A"/>
    <w:rsid w:val="00C746F2"/>
    <w:rsid w:val="00CA133C"/>
    <w:rsid w:val="00CA3287"/>
    <w:rsid w:val="00CB1F2B"/>
    <w:rsid w:val="00CC0A6F"/>
    <w:rsid w:val="00CC3C5F"/>
    <w:rsid w:val="00CC46AA"/>
    <w:rsid w:val="00CE0D27"/>
    <w:rsid w:val="00D10E54"/>
    <w:rsid w:val="00D13B33"/>
    <w:rsid w:val="00D178F7"/>
    <w:rsid w:val="00D32263"/>
    <w:rsid w:val="00D35C61"/>
    <w:rsid w:val="00D36300"/>
    <w:rsid w:val="00D44197"/>
    <w:rsid w:val="00D46931"/>
    <w:rsid w:val="00D478C5"/>
    <w:rsid w:val="00D704E1"/>
    <w:rsid w:val="00D806DB"/>
    <w:rsid w:val="00D825D0"/>
    <w:rsid w:val="00D94ADC"/>
    <w:rsid w:val="00D94E64"/>
    <w:rsid w:val="00DA1B71"/>
    <w:rsid w:val="00DA5473"/>
    <w:rsid w:val="00DB7C47"/>
    <w:rsid w:val="00DC0215"/>
    <w:rsid w:val="00DD4682"/>
    <w:rsid w:val="00DE16E4"/>
    <w:rsid w:val="00DE1954"/>
    <w:rsid w:val="00DF3B10"/>
    <w:rsid w:val="00E00691"/>
    <w:rsid w:val="00E14796"/>
    <w:rsid w:val="00E23289"/>
    <w:rsid w:val="00E23CCE"/>
    <w:rsid w:val="00E25823"/>
    <w:rsid w:val="00E2591C"/>
    <w:rsid w:val="00E3039E"/>
    <w:rsid w:val="00E3122F"/>
    <w:rsid w:val="00E44C2E"/>
    <w:rsid w:val="00E50E5A"/>
    <w:rsid w:val="00E55050"/>
    <w:rsid w:val="00E607F9"/>
    <w:rsid w:val="00E61869"/>
    <w:rsid w:val="00E72365"/>
    <w:rsid w:val="00E74AEE"/>
    <w:rsid w:val="00E759F5"/>
    <w:rsid w:val="00E77675"/>
    <w:rsid w:val="00EB67BF"/>
    <w:rsid w:val="00EB7063"/>
    <w:rsid w:val="00EC0348"/>
    <w:rsid w:val="00EC1308"/>
    <w:rsid w:val="00EC1F45"/>
    <w:rsid w:val="00EC4AEE"/>
    <w:rsid w:val="00EC5359"/>
    <w:rsid w:val="00ED6711"/>
    <w:rsid w:val="00EF1266"/>
    <w:rsid w:val="00EF2FE8"/>
    <w:rsid w:val="00EF42CE"/>
    <w:rsid w:val="00F052E7"/>
    <w:rsid w:val="00F402D9"/>
    <w:rsid w:val="00F6210B"/>
    <w:rsid w:val="00F701AA"/>
    <w:rsid w:val="00F70FF8"/>
    <w:rsid w:val="00F71886"/>
    <w:rsid w:val="00F75524"/>
    <w:rsid w:val="00F82D38"/>
    <w:rsid w:val="00F83288"/>
    <w:rsid w:val="00F9134C"/>
    <w:rsid w:val="00F92943"/>
    <w:rsid w:val="00F936B2"/>
    <w:rsid w:val="00F952B0"/>
    <w:rsid w:val="00F956D0"/>
    <w:rsid w:val="00FD70EE"/>
    <w:rsid w:val="00FE2A93"/>
    <w:rsid w:val="00FE3E7C"/>
    <w:rsid w:val="00FF126F"/>
    <w:rsid w:val="00FF6488"/>
    <w:rsid w:val="00FF6C33"/>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styleId="NormalWeb">
    <w:name w:val="Normal (Web)"/>
    <w:basedOn w:val="Normal"/>
    <w:uiPriority w:val="99"/>
    <w:unhideWhenUsed/>
    <w:rsid w:val="0097226D"/>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styleId="NormalWeb">
    <w:name w:val="Normal (Web)"/>
    <w:basedOn w:val="Normal"/>
    <w:uiPriority w:val="99"/>
    <w:unhideWhenUsed/>
    <w:rsid w:val="0097226D"/>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ournal.staihubbulwathan.id/index.php/alishlah" TargetMode="External"/><Relationship Id="rId18" Type="http://schemas.openxmlformats.org/officeDocument/2006/relationships/diagramQuickStyle" Target="diagrams/quickStyle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u.lipi.go.id/1495179561" TargetMode="External"/><Relationship Id="rId17" Type="http://schemas.openxmlformats.org/officeDocument/2006/relationships/diagramLayout" Target="diagrams/layout1.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lipi.go.id/1432364757"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1.xml"/><Relationship Id="rId10" Type="http://schemas.openxmlformats.org/officeDocument/2006/relationships/hyperlink" Target="https://doaj.org/" TargetMode="External"/><Relationship Id="rId19" Type="http://schemas.openxmlformats.org/officeDocument/2006/relationships/diagramColors" Target="diagrams/colors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jpeg"/><Relationship Id="rId22" Type="http://schemas.openxmlformats.org/officeDocument/2006/relationships/header" Target="header2.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20702634880803E-2"/>
          <c:y val="8.3550913838120106E-2"/>
          <c:w val="0.94479297365119197"/>
          <c:h val="0.81737217573651855"/>
        </c:manualLayout>
      </c:layout>
      <c:barChart>
        <c:barDir val="col"/>
        <c:grouping val="clustered"/>
        <c:varyColors val="0"/>
        <c:ser>
          <c:idx val="0"/>
          <c:order val="0"/>
          <c:invertIfNegative val="0"/>
          <c:dLbls>
            <c:txPr>
              <a:bodyPr/>
              <a:lstStyle/>
              <a:p>
                <a:pPr>
                  <a:defRPr>
                    <a:latin typeface="Georgia" pitchFamily="18" charset="0"/>
                  </a:defRPr>
                </a:pPr>
                <a:endParaRPr lang="en-US"/>
              </a:p>
            </c:txPr>
            <c:showLegendKey val="0"/>
            <c:showVal val="1"/>
            <c:showCatName val="0"/>
            <c:showSerName val="0"/>
            <c:showPercent val="0"/>
            <c:showBubbleSize val="0"/>
            <c:showLeaderLines val="0"/>
          </c:dLbls>
          <c:cat>
            <c:strRef>
              <c:f>Sheet1!$D$8:$G$8</c:f>
              <c:strCache>
                <c:ptCount val="4"/>
                <c:pt idx="0">
                  <c:v>Pretest Control</c:v>
                </c:pt>
                <c:pt idx="1">
                  <c:v>Posttest Control</c:v>
                </c:pt>
                <c:pt idx="2">
                  <c:v>Pretest TGT</c:v>
                </c:pt>
                <c:pt idx="3">
                  <c:v>Posttest TGT</c:v>
                </c:pt>
              </c:strCache>
            </c:strRef>
          </c:cat>
          <c:val>
            <c:numRef>
              <c:f>Sheet1!$D$9:$G$9</c:f>
              <c:numCache>
                <c:formatCode>General</c:formatCode>
                <c:ptCount val="4"/>
                <c:pt idx="0">
                  <c:v>41.25</c:v>
                </c:pt>
                <c:pt idx="1">
                  <c:v>75.75</c:v>
                </c:pt>
                <c:pt idx="2">
                  <c:v>56.18</c:v>
                </c:pt>
                <c:pt idx="3">
                  <c:v>81.650000000000006</c:v>
                </c:pt>
              </c:numCache>
            </c:numRef>
          </c:val>
        </c:ser>
        <c:dLbls>
          <c:showLegendKey val="0"/>
          <c:showVal val="1"/>
          <c:showCatName val="0"/>
          <c:showSerName val="0"/>
          <c:showPercent val="0"/>
          <c:showBubbleSize val="0"/>
        </c:dLbls>
        <c:gapWidth val="150"/>
        <c:axId val="287049984"/>
        <c:axId val="287089792"/>
      </c:barChart>
      <c:catAx>
        <c:axId val="287049984"/>
        <c:scaling>
          <c:orientation val="minMax"/>
        </c:scaling>
        <c:delete val="0"/>
        <c:axPos val="b"/>
        <c:majorTickMark val="none"/>
        <c:minorTickMark val="none"/>
        <c:tickLblPos val="nextTo"/>
        <c:txPr>
          <a:bodyPr/>
          <a:lstStyle/>
          <a:p>
            <a:pPr>
              <a:defRPr>
                <a:latin typeface="Georgia" pitchFamily="18" charset="0"/>
              </a:defRPr>
            </a:pPr>
            <a:endParaRPr lang="en-US"/>
          </a:p>
        </c:txPr>
        <c:crossAx val="287089792"/>
        <c:crosses val="autoZero"/>
        <c:auto val="1"/>
        <c:lblAlgn val="ctr"/>
        <c:lblOffset val="100"/>
        <c:noMultiLvlLbl val="0"/>
      </c:catAx>
      <c:valAx>
        <c:axId val="287089792"/>
        <c:scaling>
          <c:orientation val="minMax"/>
        </c:scaling>
        <c:delete val="1"/>
        <c:axPos val="l"/>
        <c:numFmt formatCode="General" sourceLinked="1"/>
        <c:majorTickMark val="none"/>
        <c:minorTickMark val="none"/>
        <c:tickLblPos val="nextTo"/>
        <c:crossAx val="287049984"/>
        <c:crosses val="autoZero"/>
        <c:crossBetween val="between"/>
      </c:valAx>
    </c:plotArea>
    <c:plotVisOnly val="1"/>
    <c:dispBlanksAs val="gap"/>
    <c:showDLblsOverMax val="0"/>
  </c:chart>
  <c:spPr>
    <a:ln>
      <a:solidFill>
        <a:schemeClr val="bg1"/>
      </a:solid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A824402-5DA7-4BE0-B1A8-84E8965C7F27}"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US"/>
        </a:p>
      </dgm:t>
    </dgm:pt>
    <dgm:pt modelId="{400CB2D6-532A-48FF-B43A-18368AF5B6A5}">
      <dgm:prSet phldrT="[Text]">
        <dgm:style>
          <a:lnRef idx="2">
            <a:schemeClr val="accent6"/>
          </a:lnRef>
          <a:fillRef idx="1">
            <a:schemeClr val="lt1"/>
          </a:fillRef>
          <a:effectRef idx="0">
            <a:schemeClr val="accent6"/>
          </a:effectRef>
          <a:fontRef idx="minor">
            <a:schemeClr val="dk1"/>
          </a:fontRef>
        </dgm:style>
      </dgm:prSet>
      <dgm:spPr>
        <a:solidFill>
          <a:srgbClr val="FFC000"/>
        </a:solidFill>
        <a:ln>
          <a:solidFill>
            <a:schemeClr val="bg1"/>
          </a:solidFill>
        </a:ln>
      </dgm:spPr>
      <dgm:t>
        <a:bodyPr/>
        <a:lstStyle/>
        <a:p>
          <a:r>
            <a:rPr lang="en-US">
              <a:latin typeface="Georgia" pitchFamily="18" charset="0"/>
            </a:rPr>
            <a:t>Interpersonal and small-group</a:t>
          </a:r>
        </a:p>
      </dgm:t>
    </dgm:pt>
    <dgm:pt modelId="{EB6AD4A6-539A-405D-A07A-56ECC8EF166E}" type="parTrans" cxnId="{BDA13DD8-5D9E-4020-9239-5A44D96FE8F3}">
      <dgm:prSet/>
      <dgm:spPr/>
      <dgm:t>
        <a:bodyPr/>
        <a:lstStyle/>
        <a:p>
          <a:endParaRPr lang="en-US"/>
        </a:p>
      </dgm:t>
    </dgm:pt>
    <dgm:pt modelId="{7D098B0C-4845-4A27-A26A-649D7CD903F3}" type="sibTrans" cxnId="{BDA13DD8-5D9E-4020-9239-5A44D96FE8F3}">
      <dgm:prSet/>
      <dgm:spPr/>
      <dgm:t>
        <a:bodyPr/>
        <a:lstStyle/>
        <a:p>
          <a:endParaRPr lang="en-US"/>
        </a:p>
      </dgm:t>
    </dgm:pt>
    <dgm:pt modelId="{EF27CAC1-7D9A-448C-A9EB-569F20184AEA}">
      <dgm:prSet phldrT="[Text]"/>
      <dgm:spPr>
        <a:solidFill>
          <a:schemeClr val="accent4">
            <a:lumMod val="50000"/>
          </a:schemeClr>
        </a:solidFill>
      </dgm:spPr>
      <dgm:t>
        <a:bodyPr/>
        <a:lstStyle/>
        <a:p>
          <a:r>
            <a:rPr lang="en-US">
              <a:latin typeface="Georgia" pitchFamily="18" charset="0"/>
            </a:rPr>
            <a:t>Promote face-to-face interaction</a:t>
          </a:r>
        </a:p>
      </dgm:t>
    </dgm:pt>
    <dgm:pt modelId="{C34006EC-DA1C-4C9E-B4B5-8D89BC5B5E37}" type="parTrans" cxnId="{2D5190D0-36AE-4825-B642-5AB0AF74EBC8}">
      <dgm:prSet/>
      <dgm:spPr/>
      <dgm:t>
        <a:bodyPr/>
        <a:lstStyle/>
        <a:p>
          <a:endParaRPr lang="en-US"/>
        </a:p>
      </dgm:t>
    </dgm:pt>
    <dgm:pt modelId="{3067013D-4E36-4DA5-9385-E8CD0ACD55D3}" type="sibTrans" cxnId="{2D5190D0-36AE-4825-B642-5AB0AF74EBC8}">
      <dgm:prSet/>
      <dgm:spPr/>
      <dgm:t>
        <a:bodyPr/>
        <a:lstStyle/>
        <a:p>
          <a:endParaRPr lang="en-US"/>
        </a:p>
      </dgm:t>
    </dgm:pt>
    <dgm:pt modelId="{F08C9DF2-4641-4E00-BAFA-0B8AF08BBD17}">
      <dgm:prSet phldrT="[Text]"/>
      <dgm:spPr>
        <a:solidFill>
          <a:schemeClr val="tx2">
            <a:lumMod val="60000"/>
            <a:lumOff val="40000"/>
          </a:schemeClr>
        </a:solidFill>
      </dgm:spPr>
      <dgm:t>
        <a:bodyPr/>
        <a:lstStyle/>
        <a:p>
          <a:r>
            <a:rPr lang="en-US">
              <a:latin typeface="Georgia" pitchFamily="18" charset="0"/>
            </a:rPr>
            <a:t>Group processing.  </a:t>
          </a:r>
        </a:p>
      </dgm:t>
    </dgm:pt>
    <dgm:pt modelId="{CB1273CC-E412-43B9-8E2D-1E2EC9A60444}" type="parTrans" cxnId="{22F85704-B56A-40CB-B51C-DC090B3C098C}">
      <dgm:prSet/>
      <dgm:spPr/>
      <dgm:t>
        <a:bodyPr/>
        <a:lstStyle/>
        <a:p>
          <a:endParaRPr lang="en-US"/>
        </a:p>
      </dgm:t>
    </dgm:pt>
    <dgm:pt modelId="{E054A8BF-91EF-4202-B5A8-6CAD0F11E07E}" type="sibTrans" cxnId="{22F85704-B56A-40CB-B51C-DC090B3C098C}">
      <dgm:prSet/>
      <dgm:spPr/>
      <dgm:t>
        <a:bodyPr/>
        <a:lstStyle/>
        <a:p>
          <a:endParaRPr lang="en-US"/>
        </a:p>
      </dgm:t>
    </dgm:pt>
    <dgm:pt modelId="{62EC0FFE-F24C-42F1-8848-4FE21A784513}">
      <dgm:prSet phldrT="[Text]"/>
      <dgm:spPr>
        <a:solidFill>
          <a:srgbClr val="FF0000"/>
        </a:solidFill>
      </dgm:spPr>
      <dgm:t>
        <a:bodyPr/>
        <a:lstStyle/>
        <a:p>
          <a:r>
            <a:rPr lang="en-US">
              <a:latin typeface="Georgia" pitchFamily="18" charset="0"/>
            </a:rPr>
            <a:t>Positive interdependence</a:t>
          </a:r>
        </a:p>
      </dgm:t>
    </dgm:pt>
    <dgm:pt modelId="{DAB4D75F-2A67-49EE-8158-9EF0C3644A7E}" type="parTrans" cxnId="{974F2854-6CE6-4C38-956C-CADA468F0DFB}">
      <dgm:prSet/>
      <dgm:spPr/>
      <dgm:t>
        <a:bodyPr/>
        <a:lstStyle/>
        <a:p>
          <a:endParaRPr lang="en-US"/>
        </a:p>
      </dgm:t>
    </dgm:pt>
    <dgm:pt modelId="{73A094DB-016C-4A11-BEB3-9388587F8BD3}" type="sibTrans" cxnId="{974F2854-6CE6-4C38-956C-CADA468F0DFB}">
      <dgm:prSet/>
      <dgm:spPr/>
      <dgm:t>
        <a:bodyPr/>
        <a:lstStyle/>
        <a:p>
          <a:endParaRPr lang="en-US"/>
        </a:p>
      </dgm:t>
    </dgm:pt>
    <dgm:pt modelId="{06499CAA-4500-4C5D-B5C7-01E7DFD759D0}">
      <dgm:prSet phldrT="[Text]"/>
      <dgm:spPr>
        <a:solidFill>
          <a:schemeClr val="accent6">
            <a:lumMod val="75000"/>
          </a:schemeClr>
        </a:solidFill>
      </dgm:spPr>
      <dgm:t>
        <a:bodyPr/>
        <a:lstStyle/>
        <a:p>
          <a:r>
            <a:rPr lang="en-US">
              <a:latin typeface="Georgia" pitchFamily="18" charset="0"/>
            </a:rPr>
            <a:t>Individual accountability</a:t>
          </a:r>
        </a:p>
      </dgm:t>
    </dgm:pt>
    <dgm:pt modelId="{AD43EAA6-DE3E-4C31-AF06-4208D13F3F1B}" type="parTrans" cxnId="{C56691C3-35A2-45CE-82DC-C76201734A4E}">
      <dgm:prSet/>
      <dgm:spPr/>
      <dgm:t>
        <a:bodyPr/>
        <a:lstStyle/>
        <a:p>
          <a:endParaRPr lang="en-US"/>
        </a:p>
      </dgm:t>
    </dgm:pt>
    <dgm:pt modelId="{F46F99E6-74E0-47F4-9371-85A66EB030DE}" type="sibTrans" cxnId="{C56691C3-35A2-45CE-82DC-C76201734A4E}">
      <dgm:prSet/>
      <dgm:spPr/>
      <dgm:t>
        <a:bodyPr/>
        <a:lstStyle/>
        <a:p>
          <a:endParaRPr lang="en-US"/>
        </a:p>
      </dgm:t>
    </dgm:pt>
    <dgm:pt modelId="{E49BD880-B3BE-4492-ABCE-03C8D2C6CF9F}" type="pres">
      <dgm:prSet presAssocID="{9A824402-5DA7-4BE0-B1A8-84E8965C7F27}" presName="cycle" presStyleCnt="0">
        <dgm:presLayoutVars>
          <dgm:dir/>
          <dgm:resizeHandles val="exact"/>
        </dgm:presLayoutVars>
      </dgm:prSet>
      <dgm:spPr/>
      <dgm:t>
        <a:bodyPr/>
        <a:lstStyle/>
        <a:p>
          <a:endParaRPr lang="en-US"/>
        </a:p>
      </dgm:t>
    </dgm:pt>
    <dgm:pt modelId="{16627C6C-1D24-42E2-8EA6-AC1905901E74}" type="pres">
      <dgm:prSet presAssocID="{400CB2D6-532A-48FF-B43A-18368AF5B6A5}" presName="node" presStyleLbl="node1" presStyleIdx="0" presStyleCnt="5">
        <dgm:presLayoutVars>
          <dgm:bulletEnabled val="1"/>
        </dgm:presLayoutVars>
      </dgm:prSet>
      <dgm:spPr/>
      <dgm:t>
        <a:bodyPr/>
        <a:lstStyle/>
        <a:p>
          <a:endParaRPr lang="en-US"/>
        </a:p>
      </dgm:t>
    </dgm:pt>
    <dgm:pt modelId="{412EB0A2-1AF2-448E-85C5-223596995347}" type="pres">
      <dgm:prSet presAssocID="{400CB2D6-532A-48FF-B43A-18368AF5B6A5}" presName="spNode" presStyleCnt="0"/>
      <dgm:spPr/>
    </dgm:pt>
    <dgm:pt modelId="{5761ED27-01A8-4F3F-80A2-37DFE1D82694}" type="pres">
      <dgm:prSet presAssocID="{7D098B0C-4845-4A27-A26A-649D7CD903F3}" presName="sibTrans" presStyleLbl="sibTrans1D1" presStyleIdx="0" presStyleCnt="5"/>
      <dgm:spPr/>
      <dgm:t>
        <a:bodyPr/>
        <a:lstStyle/>
        <a:p>
          <a:endParaRPr lang="en-US"/>
        </a:p>
      </dgm:t>
    </dgm:pt>
    <dgm:pt modelId="{B9F58DD0-B270-40FB-A3F0-EF343FE9D65C}" type="pres">
      <dgm:prSet presAssocID="{EF27CAC1-7D9A-448C-A9EB-569F20184AEA}" presName="node" presStyleLbl="node1" presStyleIdx="1" presStyleCnt="5">
        <dgm:presLayoutVars>
          <dgm:bulletEnabled val="1"/>
        </dgm:presLayoutVars>
      </dgm:prSet>
      <dgm:spPr/>
      <dgm:t>
        <a:bodyPr/>
        <a:lstStyle/>
        <a:p>
          <a:endParaRPr lang="en-US"/>
        </a:p>
      </dgm:t>
    </dgm:pt>
    <dgm:pt modelId="{6E1B1EDC-1802-4E7E-9270-6B6CA339F36F}" type="pres">
      <dgm:prSet presAssocID="{EF27CAC1-7D9A-448C-A9EB-569F20184AEA}" presName="spNode" presStyleCnt="0"/>
      <dgm:spPr/>
    </dgm:pt>
    <dgm:pt modelId="{0D495154-4B62-4C12-9DC7-596F761B43EC}" type="pres">
      <dgm:prSet presAssocID="{3067013D-4E36-4DA5-9385-E8CD0ACD55D3}" presName="sibTrans" presStyleLbl="sibTrans1D1" presStyleIdx="1" presStyleCnt="5"/>
      <dgm:spPr/>
      <dgm:t>
        <a:bodyPr/>
        <a:lstStyle/>
        <a:p>
          <a:endParaRPr lang="en-US"/>
        </a:p>
      </dgm:t>
    </dgm:pt>
    <dgm:pt modelId="{1E4DD149-729A-474F-8622-B41CD07EE4EE}" type="pres">
      <dgm:prSet presAssocID="{F08C9DF2-4641-4E00-BAFA-0B8AF08BBD17}" presName="node" presStyleLbl="node1" presStyleIdx="2" presStyleCnt="5">
        <dgm:presLayoutVars>
          <dgm:bulletEnabled val="1"/>
        </dgm:presLayoutVars>
      </dgm:prSet>
      <dgm:spPr/>
      <dgm:t>
        <a:bodyPr/>
        <a:lstStyle/>
        <a:p>
          <a:endParaRPr lang="en-US"/>
        </a:p>
      </dgm:t>
    </dgm:pt>
    <dgm:pt modelId="{E05257C1-F458-44A3-A453-1D32E5568663}" type="pres">
      <dgm:prSet presAssocID="{F08C9DF2-4641-4E00-BAFA-0B8AF08BBD17}" presName="spNode" presStyleCnt="0"/>
      <dgm:spPr/>
    </dgm:pt>
    <dgm:pt modelId="{A7D67EE9-63A9-43BD-9033-11AF63093B64}" type="pres">
      <dgm:prSet presAssocID="{E054A8BF-91EF-4202-B5A8-6CAD0F11E07E}" presName="sibTrans" presStyleLbl="sibTrans1D1" presStyleIdx="2" presStyleCnt="5"/>
      <dgm:spPr/>
      <dgm:t>
        <a:bodyPr/>
        <a:lstStyle/>
        <a:p>
          <a:endParaRPr lang="en-US"/>
        </a:p>
      </dgm:t>
    </dgm:pt>
    <dgm:pt modelId="{B2C2F77E-B0DF-45BE-BC0C-2E623A2B3B0A}" type="pres">
      <dgm:prSet presAssocID="{62EC0FFE-F24C-42F1-8848-4FE21A784513}" presName="node" presStyleLbl="node1" presStyleIdx="3" presStyleCnt="5">
        <dgm:presLayoutVars>
          <dgm:bulletEnabled val="1"/>
        </dgm:presLayoutVars>
      </dgm:prSet>
      <dgm:spPr/>
      <dgm:t>
        <a:bodyPr/>
        <a:lstStyle/>
        <a:p>
          <a:endParaRPr lang="en-US"/>
        </a:p>
      </dgm:t>
    </dgm:pt>
    <dgm:pt modelId="{6D365BB1-F819-4321-A2AB-1AC102292DC2}" type="pres">
      <dgm:prSet presAssocID="{62EC0FFE-F24C-42F1-8848-4FE21A784513}" presName="spNode" presStyleCnt="0"/>
      <dgm:spPr/>
    </dgm:pt>
    <dgm:pt modelId="{EB6C8D24-86DF-4BDB-B2EE-A15F35DBD109}" type="pres">
      <dgm:prSet presAssocID="{73A094DB-016C-4A11-BEB3-9388587F8BD3}" presName="sibTrans" presStyleLbl="sibTrans1D1" presStyleIdx="3" presStyleCnt="5"/>
      <dgm:spPr/>
      <dgm:t>
        <a:bodyPr/>
        <a:lstStyle/>
        <a:p>
          <a:endParaRPr lang="en-US"/>
        </a:p>
      </dgm:t>
    </dgm:pt>
    <dgm:pt modelId="{7268D284-8F08-4517-B87F-A9688CA3BD26}" type="pres">
      <dgm:prSet presAssocID="{06499CAA-4500-4C5D-B5C7-01E7DFD759D0}" presName="node" presStyleLbl="node1" presStyleIdx="4" presStyleCnt="5">
        <dgm:presLayoutVars>
          <dgm:bulletEnabled val="1"/>
        </dgm:presLayoutVars>
      </dgm:prSet>
      <dgm:spPr/>
      <dgm:t>
        <a:bodyPr/>
        <a:lstStyle/>
        <a:p>
          <a:endParaRPr lang="en-US"/>
        </a:p>
      </dgm:t>
    </dgm:pt>
    <dgm:pt modelId="{8123410D-EA7A-4DAD-8143-3E1BBB036C4A}" type="pres">
      <dgm:prSet presAssocID="{06499CAA-4500-4C5D-B5C7-01E7DFD759D0}" presName="spNode" presStyleCnt="0"/>
      <dgm:spPr/>
    </dgm:pt>
    <dgm:pt modelId="{269EEEA3-DE1E-4FAF-A988-7B3606E1576F}" type="pres">
      <dgm:prSet presAssocID="{F46F99E6-74E0-47F4-9371-85A66EB030DE}" presName="sibTrans" presStyleLbl="sibTrans1D1" presStyleIdx="4" presStyleCnt="5"/>
      <dgm:spPr/>
      <dgm:t>
        <a:bodyPr/>
        <a:lstStyle/>
        <a:p>
          <a:endParaRPr lang="en-US"/>
        </a:p>
      </dgm:t>
    </dgm:pt>
  </dgm:ptLst>
  <dgm:cxnLst>
    <dgm:cxn modelId="{BDA13DD8-5D9E-4020-9239-5A44D96FE8F3}" srcId="{9A824402-5DA7-4BE0-B1A8-84E8965C7F27}" destId="{400CB2D6-532A-48FF-B43A-18368AF5B6A5}" srcOrd="0" destOrd="0" parTransId="{EB6AD4A6-539A-405D-A07A-56ECC8EF166E}" sibTransId="{7D098B0C-4845-4A27-A26A-649D7CD903F3}"/>
    <dgm:cxn modelId="{648E9842-0B1D-4331-8839-E8D4D34CAB56}" type="presOf" srcId="{7D098B0C-4845-4A27-A26A-649D7CD903F3}" destId="{5761ED27-01A8-4F3F-80A2-37DFE1D82694}" srcOrd="0" destOrd="0" presId="urn:microsoft.com/office/officeart/2005/8/layout/cycle5"/>
    <dgm:cxn modelId="{C7D2F32D-1175-4540-A224-3354A5FD348B}" type="presOf" srcId="{9A824402-5DA7-4BE0-B1A8-84E8965C7F27}" destId="{E49BD880-B3BE-4492-ABCE-03C8D2C6CF9F}" srcOrd="0" destOrd="0" presId="urn:microsoft.com/office/officeart/2005/8/layout/cycle5"/>
    <dgm:cxn modelId="{2D5190D0-36AE-4825-B642-5AB0AF74EBC8}" srcId="{9A824402-5DA7-4BE0-B1A8-84E8965C7F27}" destId="{EF27CAC1-7D9A-448C-A9EB-569F20184AEA}" srcOrd="1" destOrd="0" parTransId="{C34006EC-DA1C-4C9E-B4B5-8D89BC5B5E37}" sibTransId="{3067013D-4E36-4DA5-9385-E8CD0ACD55D3}"/>
    <dgm:cxn modelId="{974F2854-6CE6-4C38-956C-CADA468F0DFB}" srcId="{9A824402-5DA7-4BE0-B1A8-84E8965C7F27}" destId="{62EC0FFE-F24C-42F1-8848-4FE21A784513}" srcOrd="3" destOrd="0" parTransId="{DAB4D75F-2A67-49EE-8158-9EF0C3644A7E}" sibTransId="{73A094DB-016C-4A11-BEB3-9388587F8BD3}"/>
    <dgm:cxn modelId="{8080AA60-1C58-42FC-B687-178B11AE1714}" type="presOf" srcId="{62EC0FFE-F24C-42F1-8848-4FE21A784513}" destId="{B2C2F77E-B0DF-45BE-BC0C-2E623A2B3B0A}" srcOrd="0" destOrd="0" presId="urn:microsoft.com/office/officeart/2005/8/layout/cycle5"/>
    <dgm:cxn modelId="{C56691C3-35A2-45CE-82DC-C76201734A4E}" srcId="{9A824402-5DA7-4BE0-B1A8-84E8965C7F27}" destId="{06499CAA-4500-4C5D-B5C7-01E7DFD759D0}" srcOrd="4" destOrd="0" parTransId="{AD43EAA6-DE3E-4C31-AF06-4208D13F3F1B}" sibTransId="{F46F99E6-74E0-47F4-9371-85A66EB030DE}"/>
    <dgm:cxn modelId="{83DE1DF6-711B-42BC-B44B-6C158341DEEA}" type="presOf" srcId="{400CB2D6-532A-48FF-B43A-18368AF5B6A5}" destId="{16627C6C-1D24-42E2-8EA6-AC1905901E74}" srcOrd="0" destOrd="0" presId="urn:microsoft.com/office/officeart/2005/8/layout/cycle5"/>
    <dgm:cxn modelId="{BA0265CD-9A0D-4EE0-B296-335B9C33C6BE}" type="presOf" srcId="{EF27CAC1-7D9A-448C-A9EB-569F20184AEA}" destId="{B9F58DD0-B270-40FB-A3F0-EF343FE9D65C}" srcOrd="0" destOrd="0" presId="urn:microsoft.com/office/officeart/2005/8/layout/cycle5"/>
    <dgm:cxn modelId="{0E54C51B-5BAA-4B29-896B-B75E7DFDD297}" type="presOf" srcId="{73A094DB-016C-4A11-BEB3-9388587F8BD3}" destId="{EB6C8D24-86DF-4BDB-B2EE-A15F35DBD109}" srcOrd="0" destOrd="0" presId="urn:microsoft.com/office/officeart/2005/8/layout/cycle5"/>
    <dgm:cxn modelId="{83B5570F-F2F6-488D-848A-F561F47661B2}" type="presOf" srcId="{F08C9DF2-4641-4E00-BAFA-0B8AF08BBD17}" destId="{1E4DD149-729A-474F-8622-B41CD07EE4EE}" srcOrd="0" destOrd="0" presId="urn:microsoft.com/office/officeart/2005/8/layout/cycle5"/>
    <dgm:cxn modelId="{22F85704-B56A-40CB-B51C-DC090B3C098C}" srcId="{9A824402-5DA7-4BE0-B1A8-84E8965C7F27}" destId="{F08C9DF2-4641-4E00-BAFA-0B8AF08BBD17}" srcOrd="2" destOrd="0" parTransId="{CB1273CC-E412-43B9-8E2D-1E2EC9A60444}" sibTransId="{E054A8BF-91EF-4202-B5A8-6CAD0F11E07E}"/>
    <dgm:cxn modelId="{7DE1458F-F91D-4886-9DB6-8477AA042B23}" type="presOf" srcId="{06499CAA-4500-4C5D-B5C7-01E7DFD759D0}" destId="{7268D284-8F08-4517-B87F-A9688CA3BD26}" srcOrd="0" destOrd="0" presId="urn:microsoft.com/office/officeart/2005/8/layout/cycle5"/>
    <dgm:cxn modelId="{F664560B-7D6A-40DE-AC18-86FFCB413FC7}" type="presOf" srcId="{3067013D-4E36-4DA5-9385-E8CD0ACD55D3}" destId="{0D495154-4B62-4C12-9DC7-596F761B43EC}" srcOrd="0" destOrd="0" presId="urn:microsoft.com/office/officeart/2005/8/layout/cycle5"/>
    <dgm:cxn modelId="{BB58528C-4310-4257-98CD-F80E38D2C597}" type="presOf" srcId="{E054A8BF-91EF-4202-B5A8-6CAD0F11E07E}" destId="{A7D67EE9-63A9-43BD-9033-11AF63093B64}" srcOrd="0" destOrd="0" presId="urn:microsoft.com/office/officeart/2005/8/layout/cycle5"/>
    <dgm:cxn modelId="{E284EBC3-A88A-4279-A690-74238A2949C6}" type="presOf" srcId="{F46F99E6-74E0-47F4-9371-85A66EB030DE}" destId="{269EEEA3-DE1E-4FAF-A988-7B3606E1576F}" srcOrd="0" destOrd="0" presId="urn:microsoft.com/office/officeart/2005/8/layout/cycle5"/>
    <dgm:cxn modelId="{6B6E3239-B635-47FA-8C30-536A2FB68270}" type="presParOf" srcId="{E49BD880-B3BE-4492-ABCE-03C8D2C6CF9F}" destId="{16627C6C-1D24-42E2-8EA6-AC1905901E74}" srcOrd="0" destOrd="0" presId="urn:microsoft.com/office/officeart/2005/8/layout/cycle5"/>
    <dgm:cxn modelId="{C9D8E0B2-086C-407D-9078-50990EEEAED6}" type="presParOf" srcId="{E49BD880-B3BE-4492-ABCE-03C8D2C6CF9F}" destId="{412EB0A2-1AF2-448E-85C5-223596995347}" srcOrd="1" destOrd="0" presId="urn:microsoft.com/office/officeart/2005/8/layout/cycle5"/>
    <dgm:cxn modelId="{DD15935E-3F24-4D9B-B6F2-D131211546E7}" type="presParOf" srcId="{E49BD880-B3BE-4492-ABCE-03C8D2C6CF9F}" destId="{5761ED27-01A8-4F3F-80A2-37DFE1D82694}" srcOrd="2" destOrd="0" presId="urn:microsoft.com/office/officeart/2005/8/layout/cycle5"/>
    <dgm:cxn modelId="{28DEA39A-8E24-4952-B941-C2FEBD82478B}" type="presParOf" srcId="{E49BD880-B3BE-4492-ABCE-03C8D2C6CF9F}" destId="{B9F58DD0-B270-40FB-A3F0-EF343FE9D65C}" srcOrd="3" destOrd="0" presId="urn:microsoft.com/office/officeart/2005/8/layout/cycle5"/>
    <dgm:cxn modelId="{8C3A0634-7A09-414E-B51F-F21D136DA5C0}" type="presParOf" srcId="{E49BD880-B3BE-4492-ABCE-03C8D2C6CF9F}" destId="{6E1B1EDC-1802-4E7E-9270-6B6CA339F36F}" srcOrd="4" destOrd="0" presId="urn:microsoft.com/office/officeart/2005/8/layout/cycle5"/>
    <dgm:cxn modelId="{B22A8DA6-FE6B-4C9A-AB26-F720968679B6}" type="presParOf" srcId="{E49BD880-B3BE-4492-ABCE-03C8D2C6CF9F}" destId="{0D495154-4B62-4C12-9DC7-596F761B43EC}" srcOrd="5" destOrd="0" presId="urn:microsoft.com/office/officeart/2005/8/layout/cycle5"/>
    <dgm:cxn modelId="{9BE73253-3731-4395-85B2-8EDAA5C40452}" type="presParOf" srcId="{E49BD880-B3BE-4492-ABCE-03C8D2C6CF9F}" destId="{1E4DD149-729A-474F-8622-B41CD07EE4EE}" srcOrd="6" destOrd="0" presId="urn:microsoft.com/office/officeart/2005/8/layout/cycle5"/>
    <dgm:cxn modelId="{EE8C38AF-7B7C-4C7B-8568-EA3E74D3FDA5}" type="presParOf" srcId="{E49BD880-B3BE-4492-ABCE-03C8D2C6CF9F}" destId="{E05257C1-F458-44A3-A453-1D32E5568663}" srcOrd="7" destOrd="0" presId="urn:microsoft.com/office/officeart/2005/8/layout/cycle5"/>
    <dgm:cxn modelId="{F1018078-F754-4276-B320-0FED5317784C}" type="presParOf" srcId="{E49BD880-B3BE-4492-ABCE-03C8D2C6CF9F}" destId="{A7D67EE9-63A9-43BD-9033-11AF63093B64}" srcOrd="8" destOrd="0" presId="urn:microsoft.com/office/officeart/2005/8/layout/cycle5"/>
    <dgm:cxn modelId="{27EFD3A9-1ABB-487D-9C13-0C8412E7EA37}" type="presParOf" srcId="{E49BD880-B3BE-4492-ABCE-03C8D2C6CF9F}" destId="{B2C2F77E-B0DF-45BE-BC0C-2E623A2B3B0A}" srcOrd="9" destOrd="0" presId="urn:microsoft.com/office/officeart/2005/8/layout/cycle5"/>
    <dgm:cxn modelId="{33EE7BB2-FCD4-49D0-A952-D0F20890E8E1}" type="presParOf" srcId="{E49BD880-B3BE-4492-ABCE-03C8D2C6CF9F}" destId="{6D365BB1-F819-4321-A2AB-1AC102292DC2}" srcOrd="10" destOrd="0" presId="urn:microsoft.com/office/officeart/2005/8/layout/cycle5"/>
    <dgm:cxn modelId="{79CB7A2C-F51F-45E4-985A-21FA3DE0D068}" type="presParOf" srcId="{E49BD880-B3BE-4492-ABCE-03C8D2C6CF9F}" destId="{EB6C8D24-86DF-4BDB-B2EE-A15F35DBD109}" srcOrd="11" destOrd="0" presId="urn:microsoft.com/office/officeart/2005/8/layout/cycle5"/>
    <dgm:cxn modelId="{E4A2831D-4C74-45B9-96DC-BEF8F258A219}" type="presParOf" srcId="{E49BD880-B3BE-4492-ABCE-03C8D2C6CF9F}" destId="{7268D284-8F08-4517-B87F-A9688CA3BD26}" srcOrd="12" destOrd="0" presId="urn:microsoft.com/office/officeart/2005/8/layout/cycle5"/>
    <dgm:cxn modelId="{65363717-9E89-425F-BD46-2AF0C89EAD32}" type="presParOf" srcId="{E49BD880-B3BE-4492-ABCE-03C8D2C6CF9F}" destId="{8123410D-EA7A-4DAD-8143-3E1BBB036C4A}" srcOrd="13" destOrd="0" presId="urn:microsoft.com/office/officeart/2005/8/layout/cycle5"/>
    <dgm:cxn modelId="{CEFBFDC1-ACC4-472B-B86B-BAD56573CB30}" type="presParOf" srcId="{E49BD880-B3BE-4492-ABCE-03C8D2C6CF9F}" destId="{269EEEA3-DE1E-4FAF-A988-7B3606E1576F}" srcOrd="14" destOrd="0" presId="urn:microsoft.com/office/officeart/2005/8/layout/cycle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627C6C-1D24-42E2-8EA6-AC1905901E74}">
      <dsp:nvSpPr>
        <dsp:cNvPr id="0" name=""/>
        <dsp:cNvSpPr/>
      </dsp:nvSpPr>
      <dsp:spPr>
        <a:xfrm>
          <a:off x="1667580" y="892"/>
          <a:ext cx="775828" cy="504288"/>
        </a:xfrm>
        <a:prstGeom prst="roundRect">
          <a:avLst/>
        </a:prstGeom>
        <a:solidFill>
          <a:srgbClr val="FFC000"/>
        </a:solidFill>
        <a:ln w="25400" cap="flat" cmpd="sng" algn="ctr">
          <a:solidFill>
            <a:schemeClr val="bg1"/>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latin typeface="Georgia" pitchFamily="18" charset="0"/>
            </a:rPr>
            <a:t>Interpersonal and small-group</a:t>
          </a:r>
        </a:p>
      </dsp:txBody>
      <dsp:txXfrm>
        <a:off x="1692197" y="25509"/>
        <a:ext cx="726594" cy="455054"/>
      </dsp:txXfrm>
    </dsp:sp>
    <dsp:sp modelId="{5761ED27-01A8-4F3F-80A2-37DFE1D82694}">
      <dsp:nvSpPr>
        <dsp:cNvPr id="0" name=""/>
        <dsp:cNvSpPr/>
      </dsp:nvSpPr>
      <dsp:spPr>
        <a:xfrm>
          <a:off x="1047909" y="253037"/>
          <a:ext cx="2015170" cy="2015170"/>
        </a:xfrm>
        <a:custGeom>
          <a:avLst/>
          <a:gdLst/>
          <a:ahLst/>
          <a:cxnLst/>
          <a:rect l="0" t="0" r="0" b="0"/>
          <a:pathLst>
            <a:path>
              <a:moveTo>
                <a:pt x="1499451" y="128213"/>
              </a:moveTo>
              <a:arcTo wR="1007585" hR="1007585" stAng="17953197" swAng="121191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B9F58DD0-B270-40FB-A3F0-EF343FE9D65C}">
      <dsp:nvSpPr>
        <dsp:cNvPr id="0" name=""/>
        <dsp:cNvSpPr/>
      </dsp:nvSpPr>
      <dsp:spPr>
        <a:xfrm>
          <a:off x="2625851" y="697117"/>
          <a:ext cx="775828" cy="504288"/>
        </a:xfrm>
        <a:prstGeom prst="roundRect">
          <a:avLst/>
        </a:prstGeom>
        <a:solidFill>
          <a:schemeClr val="accent4">
            <a:lumMod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latin typeface="Georgia" pitchFamily="18" charset="0"/>
            </a:rPr>
            <a:t>Promote face-to-face interaction</a:t>
          </a:r>
        </a:p>
      </dsp:txBody>
      <dsp:txXfrm>
        <a:off x="2650468" y="721734"/>
        <a:ext cx="726594" cy="455054"/>
      </dsp:txXfrm>
    </dsp:sp>
    <dsp:sp modelId="{0D495154-4B62-4C12-9DC7-596F761B43EC}">
      <dsp:nvSpPr>
        <dsp:cNvPr id="0" name=""/>
        <dsp:cNvSpPr/>
      </dsp:nvSpPr>
      <dsp:spPr>
        <a:xfrm>
          <a:off x="1047909" y="253037"/>
          <a:ext cx="2015170" cy="2015170"/>
        </a:xfrm>
        <a:custGeom>
          <a:avLst/>
          <a:gdLst/>
          <a:ahLst/>
          <a:cxnLst/>
          <a:rect l="0" t="0" r="0" b="0"/>
          <a:pathLst>
            <a:path>
              <a:moveTo>
                <a:pt x="2012756" y="1077297"/>
              </a:moveTo>
              <a:arcTo wR="1007585" hR="1007585" stAng="21838038" swAng="136001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1E4DD149-729A-474F-8622-B41CD07EE4EE}">
      <dsp:nvSpPr>
        <dsp:cNvPr id="0" name=""/>
        <dsp:cNvSpPr/>
      </dsp:nvSpPr>
      <dsp:spPr>
        <a:xfrm>
          <a:off x="2259824" y="1823631"/>
          <a:ext cx="775828" cy="504288"/>
        </a:xfrm>
        <a:prstGeom prst="roundRect">
          <a:avLst/>
        </a:prstGeom>
        <a:solidFill>
          <a:schemeClr val="tx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latin typeface="Georgia" pitchFamily="18" charset="0"/>
            </a:rPr>
            <a:t>Group processing.  </a:t>
          </a:r>
        </a:p>
      </dsp:txBody>
      <dsp:txXfrm>
        <a:off x="2284441" y="1848248"/>
        <a:ext cx="726594" cy="455054"/>
      </dsp:txXfrm>
    </dsp:sp>
    <dsp:sp modelId="{A7D67EE9-63A9-43BD-9033-11AF63093B64}">
      <dsp:nvSpPr>
        <dsp:cNvPr id="0" name=""/>
        <dsp:cNvSpPr/>
      </dsp:nvSpPr>
      <dsp:spPr>
        <a:xfrm>
          <a:off x="1047909" y="253037"/>
          <a:ext cx="2015170" cy="2015170"/>
        </a:xfrm>
        <a:custGeom>
          <a:avLst/>
          <a:gdLst/>
          <a:ahLst/>
          <a:cxnLst/>
          <a:rect l="0" t="0" r="0" b="0"/>
          <a:pathLst>
            <a:path>
              <a:moveTo>
                <a:pt x="1131296" y="2007547"/>
              </a:moveTo>
              <a:arcTo wR="1007585" hR="1007585" stAng="4976844" swAng="846311"/>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B2C2F77E-B0DF-45BE-BC0C-2E623A2B3B0A}">
      <dsp:nvSpPr>
        <dsp:cNvPr id="0" name=""/>
        <dsp:cNvSpPr/>
      </dsp:nvSpPr>
      <dsp:spPr>
        <a:xfrm>
          <a:off x="1075336" y="1823631"/>
          <a:ext cx="775828" cy="504288"/>
        </a:xfrm>
        <a:prstGeom prst="roundRect">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latin typeface="Georgia" pitchFamily="18" charset="0"/>
            </a:rPr>
            <a:t>Positive interdependence</a:t>
          </a:r>
        </a:p>
      </dsp:txBody>
      <dsp:txXfrm>
        <a:off x="1099953" y="1848248"/>
        <a:ext cx="726594" cy="455054"/>
      </dsp:txXfrm>
    </dsp:sp>
    <dsp:sp modelId="{EB6C8D24-86DF-4BDB-B2EE-A15F35DBD109}">
      <dsp:nvSpPr>
        <dsp:cNvPr id="0" name=""/>
        <dsp:cNvSpPr/>
      </dsp:nvSpPr>
      <dsp:spPr>
        <a:xfrm>
          <a:off x="1047909" y="253037"/>
          <a:ext cx="2015170" cy="2015170"/>
        </a:xfrm>
        <a:custGeom>
          <a:avLst/>
          <a:gdLst/>
          <a:ahLst/>
          <a:cxnLst/>
          <a:rect l="0" t="0" r="0" b="0"/>
          <a:pathLst>
            <a:path>
              <a:moveTo>
                <a:pt x="106918" y="1459279"/>
              </a:moveTo>
              <a:arcTo wR="1007585" hR="1007585" stAng="9201944" swAng="136001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268D284-8F08-4517-B87F-A9688CA3BD26}">
      <dsp:nvSpPr>
        <dsp:cNvPr id="0" name=""/>
        <dsp:cNvSpPr/>
      </dsp:nvSpPr>
      <dsp:spPr>
        <a:xfrm>
          <a:off x="709309" y="697117"/>
          <a:ext cx="775828" cy="504288"/>
        </a:xfrm>
        <a:prstGeom prst="roundRect">
          <a:avLst/>
        </a:prstGeom>
        <a:solidFill>
          <a:schemeClr val="accent6">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kern="1200">
              <a:latin typeface="Georgia" pitchFamily="18" charset="0"/>
            </a:rPr>
            <a:t>Individual accountability</a:t>
          </a:r>
        </a:p>
      </dsp:txBody>
      <dsp:txXfrm>
        <a:off x="733926" y="721734"/>
        <a:ext cx="726594" cy="455054"/>
      </dsp:txXfrm>
    </dsp:sp>
    <dsp:sp modelId="{269EEEA3-DE1E-4FAF-A988-7B3606E1576F}">
      <dsp:nvSpPr>
        <dsp:cNvPr id="0" name=""/>
        <dsp:cNvSpPr/>
      </dsp:nvSpPr>
      <dsp:spPr>
        <a:xfrm>
          <a:off x="1047909" y="253037"/>
          <a:ext cx="2015170" cy="2015170"/>
        </a:xfrm>
        <a:custGeom>
          <a:avLst/>
          <a:gdLst/>
          <a:ahLst/>
          <a:cxnLst/>
          <a:rect l="0" t="0" r="0" b="0"/>
          <a:pathLst>
            <a:path>
              <a:moveTo>
                <a:pt x="242342" y="352122"/>
              </a:moveTo>
              <a:arcTo wR="1007585" hR="1007585" stAng="13234886" swAng="121191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0129930-B3AF-4AE4-85F9-7A394D6C0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695</TotalTime>
  <Pages>11</Pages>
  <Words>33703</Words>
  <Characters>192108</Characters>
  <Application>Microsoft Office Word</Application>
  <DocSecurity>0</DocSecurity>
  <Lines>1600</Lines>
  <Paragraphs>450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Asus X441N</cp:lastModifiedBy>
  <cp:revision>173</cp:revision>
  <cp:lastPrinted>2020-04-21T08:50:00Z</cp:lastPrinted>
  <dcterms:created xsi:type="dcterms:W3CDTF">2021-02-17T04:52:00Z</dcterms:created>
  <dcterms:modified xsi:type="dcterms:W3CDTF">2021-11-29T03:42:00Z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7983b9e7-6951-337e-a88d-b0ceefcab1e0</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