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BB9" w:rsidRDefault="004572B7">
      <w:pPr>
        <w:pStyle w:val="BodyText"/>
        <w:ind w:left="113"/>
        <w:rPr>
          <w:rFonts w:ascii="Times New Roman"/>
          <w:sz w:val="20"/>
        </w:rPr>
      </w:pPr>
      <w:r>
        <w:rPr>
          <w:rFonts w:ascii="Times New Roman"/>
          <w:sz w:val="20"/>
        </w:rPr>
      </w:r>
      <w:r>
        <w:rPr>
          <w:rFonts w:ascii="Times New Roman"/>
          <w:sz w:val="20"/>
        </w:rPr>
        <w:pict>
          <v:group id="_x0000_s1138" style="width:517.95pt;height:66.5pt;mso-position-horizontal-relative:char;mso-position-vertical-relative:line" coordsize="10359,1330">
            <v:rect id="_x0000_s1143" style="position:absolute;left:14;width:10344;height: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2" type="#_x0000_t75" style="position:absolute;left:117;top:79;width:1143;height:1059">
              <v:imagedata r:id="rId8" o:title=""/>
            </v:shape>
            <v:shape id="_x0000_s1141" style="position:absolute;top:1212;width:10359;height:118" coordorigin=",1212" coordsize="10359,118" o:spt="100" adj="0,,0" path="m10358,1315r-1140,l9115,1315r-14,l1394,1315r-103,l1277,1315,,1315r,15l1277,1330r14,l1394,1330r7707,l9115,1330r103,l10358,1330r,-15xm10358,1241r-1140,l9115,1241r-14,l1394,1241r-103,l1277,1241,,1241r,60l1277,1301r14,l1394,1301r7707,l9115,1301r103,l10358,1301r,-60xm10358,1212r-1140,l9115,1212r-14,l1394,1212r-103,l1277,1212,,1212r,14l1277,1226r14,l1394,1226r7707,l9115,1226r103,l10358,1226r,-14xe" fillcolor="black" stroked="f">
              <v:stroke joinstyle="round"/>
              <v:formulas/>
              <v:path arrowok="t" o:connecttype="segments"/>
            </v:shape>
            <v:shape id="_x0000_s1140" type="#_x0000_t75" style="position:absolute;left:9276;top:4;width:972;height:1198">
              <v:imagedata r:id="rId9" o:title=""/>
            </v:shape>
            <v:shapetype id="_x0000_t202" coordsize="21600,21600" o:spt="202" path="m,l,21600r21600,l21600,xe">
              <v:stroke joinstyle="miter"/>
              <v:path gradientshapeok="t" o:connecttype="rect"/>
            </v:shapetype>
            <v:shape id="_x0000_s1139" type="#_x0000_t202" style="position:absolute;width:10359;height:1330" filled="f" stroked="f">
              <v:textbox style="mso-next-textbox:#_x0000_s1139" inset="0,0,0,0">
                <w:txbxContent>
                  <w:p w:rsidR="00D70BB9" w:rsidRDefault="00FD4394">
                    <w:pPr>
                      <w:spacing w:before="131" w:line="181" w:lineRule="exact"/>
                      <w:ind w:left="1578" w:right="1533"/>
                      <w:jc w:val="center"/>
                      <w:rPr>
                        <w:sz w:val="16"/>
                      </w:rPr>
                    </w:pPr>
                    <w:r>
                      <w:rPr>
                        <w:sz w:val="16"/>
                      </w:rPr>
                      <w:t xml:space="preserve">Contents list available at </w:t>
                    </w:r>
                    <w:r>
                      <w:rPr>
                        <w:color w:val="0000FF"/>
                        <w:sz w:val="16"/>
                        <w:u w:val="single" w:color="0000FF"/>
                      </w:rPr>
                      <w:t>Directory of Open Access Journals (DOAJ)</w:t>
                    </w:r>
                  </w:p>
                  <w:p w:rsidR="00D70BB9" w:rsidRDefault="00FD4394">
                    <w:pPr>
                      <w:spacing w:line="317" w:lineRule="exact"/>
                      <w:ind w:left="1578" w:right="1536"/>
                      <w:jc w:val="center"/>
                      <w:rPr>
                        <w:b/>
                        <w:sz w:val="28"/>
                      </w:rPr>
                    </w:pPr>
                    <w:r>
                      <w:rPr>
                        <w:b/>
                        <w:sz w:val="28"/>
                      </w:rPr>
                      <w:t>Al-Ishlah: Jurnal Pendidikan</w:t>
                    </w:r>
                  </w:p>
                  <w:p w:rsidR="00D70BB9" w:rsidRDefault="00FD4394">
                    <w:pPr>
                      <w:ind w:left="1578" w:right="1537"/>
                      <w:jc w:val="center"/>
                      <w:rPr>
                        <w:sz w:val="20"/>
                      </w:rPr>
                    </w:pPr>
                    <w:r>
                      <w:rPr>
                        <w:spacing w:val="-1"/>
                        <w:w w:val="99"/>
                        <w:sz w:val="20"/>
                      </w:rPr>
                      <w:t>I</w:t>
                    </w:r>
                    <w:r>
                      <w:rPr>
                        <w:spacing w:val="1"/>
                        <w:w w:val="99"/>
                        <w:sz w:val="20"/>
                      </w:rPr>
                      <w:t>SS</w:t>
                    </w:r>
                    <w:r>
                      <w:rPr>
                        <w:w w:val="99"/>
                        <w:sz w:val="20"/>
                      </w:rPr>
                      <w:t>N:</w:t>
                    </w:r>
                    <w:r>
                      <w:rPr>
                        <w:rFonts w:ascii="Times New Roman"/>
                        <w:spacing w:val="-2"/>
                        <w:sz w:val="20"/>
                      </w:rPr>
                      <w:t xml:space="preserve"> </w:t>
                    </w:r>
                    <w:r>
                      <w:rPr>
                        <w:smallCaps/>
                        <w:color w:val="0000FF"/>
                        <w:spacing w:val="-1"/>
                        <w:w w:val="99"/>
                        <w:sz w:val="20"/>
                        <w:u w:val="single" w:color="0000FF"/>
                      </w:rPr>
                      <w:t>2</w:t>
                    </w:r>
                    <w:r>
                      <w:rPr>
                        <w:color w:val="0000FF"/>
                        <w:w w:val="99"/>
                        <w:sz w:val="20"/>
                        <w:u w:val="single" w:color="0000FF"/>
                      </w:rPr>
                      <w:t>0</w:t>
                    </w:r>
                    <w:r>
                      <w:rPr>
                        <w:color w:val="0000FF"/>
                        <w:spacing w:val="-2"/>
                        <w:w w:val="99"/>
                        <w:sz w:val="20"/>
                        <w:u w:val="single" w:color="0000FF"/>
                      </w:rPr>
                      <w:t>8</w:t>
                    </w:r>
                    <w:r>
                      <w:rPr>
                        <w:color w:val="0000FF"/>
                        <w:w w:val="99"/>
                        <w:sz w:val="20"/>
                        <w:u w:val="single" w:color="0000FF"/>
                      </w:rPr>
                      <w:t>7</w:t>
                    </w:r>
                    <w:r>
                      <w:rPr>
                        <w:color w:val="0000FF"/>
                        <w:spacing w:val="2"/>
                        <w:w w:val="99"/>
                        <w:sz w:val="20"/>
                        <w:u w:val="single" w:color="0000FF"/>
                      </w:rPr>
                      <w:t>-</w:t>
                    </w:r>
                    <w:r>
                      <w:rPr>
                        <w:color w:val="0000FF"/>
                        <w:w w:val="99"/>
                        <w:sz w:val="20"/>
                        <w:u w:val="single" w:color="0000FF"/>
                      </w:rPr>
                      <w:t>9490</w:t>
                    </w:r>
                    <w:r>
                      <w:rPr>
                        <w:rFonts w:ascii="Times New Roman"/>
                        <w:color w:val="0000FF"/>
                        <w:spacing w:val="-2"/>
                        <w:sz w:val="20"/>
                      </w:rPr>
                      <w:t xml:space="preserve"> </w:t>
                    </w:r>
                    <w:r>
                      <w:rPr>
                        <w:spacing w:val="-1"/>
                        <w:w w:val="99"/>
                        <w:sz w:val="20"/>
                      </w:rPr>
                      <w:t>(</w:t>
                    </w:r>
                    <w:proofErr w:type="gramStart"/>
                    <w:r>
                      <w:rPr>
                        <w:w w:val="99"/>
                        <w:sz w:val="20"/>
                      </w:rPr>
                      <w:t>P</w:t>
                    </w:r>
                    <w:r>
                      <w:rPr>
                        <w:spacing w:val="2"/>
                        <w:w w:val="99"/>
                        <w:sz w:val="20"/>
                      </w:rPr>
                      <w:t>r</w:t>
                    </w:r>
                    <w:r>
                      <w:rPr>
                        <w:spacing w:val="-1"/>
                        <w:w w:val="99"/>
                        <w:sz w:val="20"/>
                      </w:rPr>
                      <w:t>in</w:t>
                    </w:r>
                    <w:r>
                      <w:rPr>
                        <w:w w:val="99"/>
                        <w:sz w:val="20"/>
                      </w:rPr>
                      <w:t>t</w:t>
                    </w:r>
                    <w:r>
                      <w:rPr>
                        <w:spacing w:val="-1"/>
                        <w:w w:val="99"/>
                        <w:sz w:val="20"/>
                      </w:rPr>
                      <w:t>e</w:t>
                    </w:r>
                    <w:r>
                      <w:rPr>
                        <w:w w:val="99"/>
                        <w:sz w:val="20"/>
                      </w:rPr>
                      <w:t>d</w:t>
                    </w:r>
                    <w:r>
                      <w:rPr>
                        <w:spacing w:val="2"/>
                        <w:w w:val="99"/>
                        <w:sz w:val="20"/>
                      </w:rPr>
                      <w:t>)</w:t>
                    </w:r>
                    <w:r>
                      <w:rPr>
                        <w:w w:val="99"/>
                        <w:sz w:val="20"/>
                      </w:rPr>
                      <w:t>;</w:t>
                    </w:r>
                    <w:proofErr w:type="gramEnd"/>
                    <w:r>
                      <w:rPr>
                        <w:rFonts w:ascii="Times New Roman"/>
                        <w:spacing w:val="-2"/>
                        <w:sz w:val="20"/>
                      </w:rPr>
                      <w:t xml:space="preserve"> </w:t>
                    </w:r>
                    <w:r>
                      <w:rPr>
                        <w:smallCaps/>
                        <w:color w:val="0000FF"/>
                        <w:spacing w:val="-1"/>
                        <w:w w:val="99"/>
                        <w:sz w:val="20"/>
                        <w:u w:val="single" w:color="0000FF"/>
                      </w:rPr>
                      <w:t>2</w:t>
                    </w:r>
                    <w:r>
                      <w:rPr>
                        <w:color w:val="0000FF"/>
                        <w:w w:val="99"/>
                        <w:sz w:val="20"/>
                        <w:u w:val="single" w:color="0000FF"/>
                      </w:rPr>
                      <w:t>597</w:t>
                    </w:r>
                    <w:r>
                      <w:rPr>
                        <w:color w:val="0000FF"/>
                        <w:spacing w:val="-1"/>
                        <w:w w:val="99"/>
                        <w:sz w:val="20"/>
                        <w:u w:val="single" w:color="0000FF"/>
                      </w:rPr>
                      <w:t>-</w:t>
                    </w:r>
                    <w:r>
                      <w:rPr>
                        <w:color w:val="0000FF"/>
                        <w:w w:val="99"/>
                        <w:sz w:val="20"/>
                        <w:u w:val="single" w:color="0000FF"/>
                      </w:rPr>
                      <w:t>94</w:t>
                    </w:r>
                    <w:r>
                      <w:rPr>
                        <w:color w:val="0000FF"/>
                        <w:spacing w:val="2"/>
                        <w:w w:val="99"/>
                        <w:sz w:val="20"/>
                        <w:u w:val="single" w:color="0000FF"/>
                      </w:rPr>
                      <w:t>0</w:t>
                    </w:r>
                    <w:r>
                      <w:rPr>
                        <w:color w:val="0000FF"/>
                        <w:w w:val="99"/>
                        <w:sz w:val="20"/>
                        <w:u w:val="single" w:color="0000FF"/>
                      </w:rPr>
                      <w:t>X</w:t>
                    </w:r>
                    <w:r>
                      <w:rPr>
                        <w:rFonts w:ascii="Times New Roman"/>
                        <w:color w:val="0000FF"/>
                        <w:spacing w:val="-2"/>
                        <w:sz w:val="20"/>
                      </w:rPr>
                      <w:t xml:space="preserve"> </w:t>
                    </w:r>
                    <w:r>
                      <w:rPr>
                        <w:spacing w:val="-1"/>
                        <w:w w:val="99"/>
                        <w:sz w:val="20"/>
                      </w:rPr>
                      <w:t>(</w:t>
                    </w:r>
                    <w:r>
                      <w:rPr>
                        <w:w w:val="99"/>
                        <w:sz w:val="20"/>
                      </w:rPr>
                      <w:t>O</w:t>
                    </w:r>
                    <w:r>
                      <w:rPr>
                        <w:spacing w:val="-1"/>
                        <w:w w:val="99"/>
                        <w:sz w:val="20"/>
                      </w:rPr>
                      <w:t>n</w:t>
                    </w:r>
                    <w:r>
                      <w:rPr>
                        <w:w w:val="99"/>
                        <w:sz w:val="20"/>
                      </w:rPr>
                      <w:t>l</w:t>
                    </w:r>
                    <w:r>
                      <w:rPr>
                        <w:spacing w:val="1"/>
                        <w:w w:val="99"/>
                        <w:sz w:val="20"/>
                      </w:rPr>
                      <w:t>i</w:t>
                    </w:r>
                    <w:r>
                      <w:rPr>
                        <w:spacing w:val="-1"/>
                        <w:w w:val="99"/>
                        <w:sz w:val="20"/>
                      </w:rPr>
                      <w:t>ne</w:t>
                    </w:r>
                    <w:r>
                      <w:rPr>
                        <w:w w:val="99"/>
                        <w:sz w:val="20"/>
                      </w:rPr>
                      <w:t>)</w:t>
                    </w:r>
                  </w:p>
                  <w:p w:rsidR="00D70BB9" w:rsidRDefault="00FD4394">
                    <w:pPr>
                      <w:spacing w:before="1"/>
                      <w:ind w:left="1578" w:right="1539"/>
                      <w:jc w:val="center"/>
                      <w:rPr>
                        <w:sz w:val="20"/>
                      </w:rPr>
                    </w:pPr>
                    <w:r>
                      <w:rPr>
                        <w:sz w:val="20"/>
                      </w:rPr>
                      <w:t xml:space="preserve">Journal Homepage: </w:t>
                    </w:r>
                    <w:hyperlink r:id="rId10">
                      <w:r>
                        <w:rPr>
                          <w:color w:val="0000FF"/>
                          <w:sz w:val="20"/>
                          <w:u w:val="single" w:color="0000FF"/>
                        </w:rPr>
                        <w:t>http://www.journal.staihubbulwathan.id/index.php/alishlah</w:t>
                      </w:r>
                    </w:hyperlink>
                  </w:p>
                </w:txbxContent>
              </v:textbox>
            </v:shape>
            <w10:wrap type="none"/>
            <w10:anchorlock/>
          </v:group>
        </w:pict>
      </w:r>
    </w:p>
    <w:p w:rsidR="00D70BB9" w:rsidRDefault="00D70BB9">
      <w:pPr>
        <w:pStyle w:val="BodyText"/>
        <w:spacing w:before="6"/>
        <w:rPr>
          <w:rFonts w:ascii="Times New Roman"/>
          <w:sz w:val="7"/>
        </w:rPr>
      </w:pPr>
    </w:p>
    <w:p w:rsidR="00B17AA4" w:rsidRDefault="00B17AA4" w:rsidP="00B17AA4">
      <w:pPr>
        <w:ind w:left="480"/>
        <w:rPr>
          <w:rFonts w:eastAsia="Cambria" w:cs="Cambria"/>
          <w:b/>
          <w:sz w:val="36"/>
          <w:szCs w:val="36"/>
        </w:rPr>
      </w:pPr>
      <w:r w:rsidRPr="00B17AA4">
        <w:rPr>
          <w:rFonts w:eastAsia="Cambria" w:cs="Cambria"/>
          <w:b/>
          <w:sz w:val="36"/>
          <w:szCs w:val="36"/>
        </w:rPr>
        <w:t xml:space="preserve">The </w:t>
      </w:r>
      <w:r w:rsidRPr="00B17AA4">
        <w:rPr>
          <w:b/>
          <w:sz w:val="36"/>
          <w:szCs w:val="36"/>
        </w:rPr>
        <w:t>Concept</w:t>
      </w:r>
      <w:r w:rsidRPr="00B17AA4">
        <w:rPr>
          <w:rFonts w:eastAsia="Cambria" w:cs="Cambria"/>
          <w:b/>
          <w:sz w:val="36"/>
          <w:szCs w:val="36"/>
        </w:rPr>
        <w:t xml:space="preserve"> of Law in the Academic Community during the Covid-19 Pandemic</w:t>
      </w:r>
    </w:p>
    <w:p w:rsidR="00B17AA4" w:rsidRDefault="00B17AA4" w:rsidP="00B17AA4">
      <w:pPr>
        <w:ind w:left="480"/>
        <w:rPr>
          <w:rFonts w:eastAsia="Cambria" w:cs="Cambria"/>
          <w:b/>
          <w:sz w:val="36"/>
          <w:szCs w:val="36"/>
        </w:rPr>
      </w:pPr>
    </w:p>
    <w:p w:rsidR="00B17AA4" w:rsidRPr="00B17AA4" w:rsidRDefault="00B17AA4" w:rsidP="00B17AA4">
      <w:pPr>
        <w:ind w:left="480"/>
        <w:rPr>
          <w:rFonts w:eastAsia="Cambria" w:cs="Cambria"/>
          <w:b/>
          <w:sz w:val="36"/>
          <w:szCs w:val="36"/>
        </w:rPr>
      </w:pPr>
      <w:r w:rsidRPr="00B17AA4">
        <w:rPr>
          <w:rFonts w:eastAsia="Cambria"/>
          <w:b/>
          <w:iCs/>
          <w:sz w:val="24"/>
          <w:szCs w:val="24"/>
          <w:lang w:val="id-ID"/>
        </w:rPr>
        <w:t xml:space="preserve">Yusuf Faisal Ali </w:t>
      </w:r>
    </w:p>
    <w:p w:rsidR="00D70BB9" w:rsidRDefault="00FD4394">
      <w:pPr>
        <w:spacing w:before="121"/>
        <w:ind w:left="480"/>
        <w:rPr>
          <w:sz w:val="24"/>
        </w:rPr>
      </w:pPr>
      <w:r>
        <w:rPr>
          <w:w w:val="99"/>
          <w:sz w:val="24"/>
        </w:rPr>
        <w:t>D</w:t>
      </w:r>
      <w:r>
        <w:rPr>
          <w:spacing w:val="-1"/>
          <w:w w:val="99"/>
          <w:sz w:val="24"/>
        </w:rPr>
        <w:t>O</w:t>
      </w:r>
      <w:r>
        <w:rPr>
          <w:w w:val="99"/>
          <w:sz w:val="24"/>
        </w:rPr>
        <w:t>I</w:t>
      </w:r>
      <w:r>
        <w:rPr>
          <w:b/>
          <w:w w:val="99"/>
          <w:sz w:val="24"/>
        </w:rPr>
        <w:t>:</w:t>
      </w:r>
      <w:r>
        <w:rPr>
          <w:rFonts w:ascii="Times New Roman"/>
          <w:sz w:val="24"/>
        </w:rPr>
        <w:t xml:space="preserve"> </w:t>
      </w:r>
      <w:r w:rsidR="00361865">
        <w:rPr>
          <w:smallCaps/>
          <w:w w:val="99"/>
          <w:sz w:val="24"/>
        </w:rPr>
        <w:t>xxx</w:t>
      </w:r>
    </w:p>
    <w:p w:rsidR="00D70BB9" w:rsidRDefault="004572B7">
      <w:pPr>
        <w:pStyle w:val="BodyText"/>
        <w:spacing w:before="7"/>
        <w:rPr>
          <w:sz w:val="16"/>
        </w:rPr>
      </w:pPr>
      <w:r>
        <w:pict>
          <v:shape id="_x0000_s1137" style="position:absolute;margin-left:65.65pt;margin-top:11.45pt;width:492.6pt;height:.25pt;z-index:-15727616;mso-wrap-distance-left:0;mso-wrap-distance-right:0;mso-position-horizontal-relative:page" coordorigin="1313,229" coordsize="9852,5" path="m11165,229r-7354,l3806,229r-2493,l1313,233r2493,l3811,233r7354,l11165,229xe" fillcolor="black" stroked="f">
            <v:path arrowok="t"/>
            <w10:wrap type="topAndBottom" anchorx="page"/>
          </v:shape>
        </w:pict>
      </w:r>
    </w:p>
    <w:p w:rsidR="00D70BB9" w:rsidRDefault="00FD4394">
      <w:pPr>
        <w:tabs>
          <w:tab w:val="left" w:pos="2974"/>
        </w:tabs>
        <w:spacing w:before="80" w:after="117"/>
        <w:ind w:left="480"/>
        <w:rPr>
          <w:b/>
          <w:sz w:val="20"/>
        </w:rPr>
      </w:pPr>
      <w:r>
        <w:rPr>
          <w:b/>
          <w:sz w:val="20"/>
        </w:rPr>
        <w:t>Article</w:t>
      </w:r>
      <w:r>
        <w:rPr>
          <w:b/>
          <w:spacing w:val="-3"/>
          <w:sz w:val="20"/>
        </w:rPr>
        <w:t xml:space="preserve"> </w:t>
      </w:r>
      <w:r>
        <w:rPr>
          <w:b/>
          <w:sz w:val="20"/>
        </w:rPr>
        <w:t>Info</w:t>
      </w:r>
      <w:r>
        <w:rPr>
          <w:rFonts w:ascii="Times New Roman"/>
          <w:sz w:val="20"/>
        </w:rPr>
        <w:tab/>
      </w:r>
      <w:r>
        <w:rPr>
          <w:b/>
          <w:sz w:val="20"/>
        </w:rPr>
        <w:t>Abstract</w:t>
      </w:r>
    </w:p>
    <w:p w:rsidR="00D70BB9" w:rsidRDefault="004572B7">
      <w:pPr>
        <w:pStyle w:val="BodyText"/>
        <w:spacing w:line="20" w:lineRule="exact"/>
        <w:ind w:left="372"/>
        <w:rPr>
          <w:sz w:val="2"/>
        </w:rPr>
      </w:pPr>
      <w:r>
        <w:rPr>
          <w:sz w:val="2"/>
        </w:rPr>
      </w:r>
      <w:r>
        <w:rPr>
          <w:sz w:val="2"/>
        </w:rPr>
        <w:pict>
          <v:group id="_x0000_s1135" style="width:492.6pt;height:.25pt;mso-position-horizontal-relative:char;mso-position-vertical-relative:line" coordsize="9852,5">
            <v:shape id="_x0000_s1136" style="position:absolute;width:9852;height:5" coordsize="9852,5" path="m9852,l2498,r-4,l,,,5r2494,l2498,5r7354,l9852,xe" fillcolor="black" stroked="f">
              <v:path arrowok="t"/>
            </v:shape>
            <w10:wrap type="none"/>
            <w10:anchorlock/>
          </v:group>
        </w:pict>
      </w:r>
    </w:p>
    <w:p w:rsidR="00D70BB9" w:rsidRDefault="00D70BB9">
      <w:pPr>
        <w:rPr>
          <w:sz w:val="9"/>
        </w:rPr>
        <w:sectPr w:rsidR="00D70BB9">
          <w:type w:val="continuous"/>
          <w:pgSz w:w="11910" w:h="16840"/>
          <w:pgMar w:top="960" w:right="380" w:bottom="280" w:left="940" w:header="720" w:footer="720" w:gutter="0"/>
          <w:cols w:space="720"/>
        </w:sectPr>
      </w:pPr>
    </w:p>
    <w:p w:rsidR="00055C99" w:rsidRPr="00E10130" w:rsidRDefault="00FD4394" w:rsidP="00E10130">
      <w:pPr>
        <w:pStyle w:val="Paragraph"/>
        <w:spacing w:line="240" w:lineRule="auto"/>
        <w:ind w:left="372" w:firstLine="54"/>
        <w:jc w:val="left"/>
        <w:rPr>
          <w:rFonts w:ascii="Georgia" w:hAnsi="Georgia"/>
          <w:sz w:val="20"/>
          <w:szCs w:val="20"/>
        </w:rPr>
      </w:pPr>
      <w:r w:rsidRPr="00E10130">
        <w:rPr>
          <w:rFonts w:ascii="Georgia" w:hAnsi="Georgia"/>
          <w:sz w:val="20"/>
          <w:szCs w:val="20"/>
        </w:rPr>
        <w:t xml:space="preserve">Keywords: </w:t>
      </w:r>
    </w:p>
    <w:p w:rsidR="009D37E8" w:rsidRDefault="009D37E8" w:rsidP="009D37E8">
      <w:pPr>
        <w:pStyle w:val="Paragraph"/>
        <w:spacing w:line="240" w:lineRule="auto"/>
        <w:ind w:left="372" w:firstLine="54"/>
        <w:jc w:val="left"/>
        <w:rPr>
          <w:rFonts w:ascii="Georgia" w:eastAsia="Cambria" w:hAnsi="Georgia"/>
          <w:iCs/>
          <w:sz w:val="20"/>
          <w:szCs w:val="20"/>
        </w:rPr>
      </w:pPr>
      <w:r>
        <w:rPr>
          <w:rFonts w:ascii="Georgia" w:eastAsia="Cambria" w:hAnsi="Georgia"/>
          <w:iCs/>
          <w:sz w:val="20"/>
          <w:szCs w:val="20"/>
        </w:rPr>
        <w:t>Technology;</w:t>
      </w:r>
    </w:p>
    <w:p w:rsidR="009D37E8" w:rsidRDefault="009D37E8" w:rsidP="009D37E8">
      <w:pPr>
        <w:pStyle w:val="Paragraph"/>
        <w:spacing w:line="240" w:lineRule="auto"/>
        <w:ind w:left="372" w:firstLine="54"/>
        <w:jc w:val="left"/>
        <w:rPr>
          <w:rFonts w:ascii="Georgia" w:eastAsia="Cambria" w:hAnsi="Georgia"/>
          <w:iCs/>
          <w:sz w:val="20"/>
          <w:szCs w:val="20"/>
        </w:rPr>
      </w:pPr>
      <w:r w:rsidRPr="009D37E8">
        <w:rPr>
          <w:rFonts w:ascii="Georgia" w:eastAsia="Cambria" w:hAnsi="Georgia"/>
          <w:iCs/>
          <w:sz w:val="20"/>
          <w:szCs w:val="20"/>
        </w:rPr>
        <w:t>Communic</w:t>
      </w:r>
      <w:r>
        <w:rPr>
          <w:rFonts w:ascii="Georgia" w:eastAsia="Cambria" w:hAnsi="Georgia"/>
          <w:iCs/>
          <w:sz w:val="20"/>
          <w:szCs w:val="20"/>
        </w:rPr>
        <w:t xml:space="preserve">atio; </w:t>
      </w:r>
      <w:r w:rsidRPr="009D37E8">
        <w:rPr>
          <w:rFonts w:ascii="Georgia" w:eastAsia="Cambria" w:hAnsi="Georgia"/>
          <w:iCs/>
          <w:sz w:val="20"/>
          <w:szCs w:val="20"/>
        </w:rPr>
        <w:t xml:space="preserve">Rule </w:t>
      </w:r>
      <w:r>
        <w:rPr>
          <w:rFonts w:ascii="Georgia" w:eastAsia="Cambria" w:hAnsi="Georgia"/>
          <w:iCs/>
          <w:sz w:val="20"/>
          <w:szCs w:val="20"/>
        </w:rPr>
        <w:t>of</w:t>
      </w:r>
    </w:p>
    <w:p w:rsidR="009D37E8" w:rsidRPr="009D37E8" w:rsidRDefault="009D37E8" w:rsidP="009D37E8">
      <w:pPr>
        <w:pStyle w:val="Paragraph"/>
        <w:spacing w:line="240" w:lineRule="auto"/>
        <w:ind w:left="372" w:firstLine="54"/>
        <w:jc w:val="left"/>
        <w:rPr>
          <w:rFonts w:ascii="Georgia" w:hAnsi="Georgia"/>
          <w:sz w:val="20"/>
          <w:szCs w:val="20"/>
        </w:rPr>
      </w:pPr>
      <w:r w:rsidRPr="009D37E8">
        <w:rPr>
          <w:rFonts w:ascii="Georgia" w:eastAsia="Cambria" w:hAnsi="Georgia"/>
          <w:iCs/>
          <w:sz w:val="20"/>
          <w:szCs w:val="20"/>
        </w:rPr>
        <w:t>La</w:t>
      </w:r>
      <w:r>
        <w:rPr>
          <w:rFonts w:ascii="Georgia" w:eastAsia="Cambria" w:hAnsi="Georgia"/>
          <w:iCs/>
          <w:sz w:val="20"/>
          <w:szCs w:val="20"/>
        </w:rPr>
        <w:t xml:space="preserve">w; </w:t>
      </w:r>
      <w:r w:rsidRPr="009D37E8">
        <w:rPr>
          <w:rFonts w:ascii="Georgia" w:eastAsia="Cambria" w:hAnsi="Georgia"/>
          <w:iCs/>
          <w:sz w:val="20"/>
          <w:szCs w:val="20"/>
        </w:rPr>
        <w:t>Covid-19</w:t>
      </w:r>
    </w:p>
    <w:p w:rsidR="00D70BB9" w:rsidRPr="009D37E8" w:rsidRDefault="00D70BB9" w:rsidP="00647886">
      <w:pPr>
        <w:spacing w:before="100"/>
        <w:ind w:left="480" w:right="745"/>
        <w:rPr>
          <w:sz w:val="20"/>
        </w:rPr>
      </w:pPr>
      <w:bookmarkStart w:id="0" w:name="_GoBack"/>
      <w:bookmarkEnd w:id="0"/>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rPr>
      </w:pPr>
    </w:p>
    <w:p w:rsidR="00D70BB9" w:rsidRDefault="00D70BB9">
      <w:pPr>
        <w:pStyle w:val="BodyText"/>
        <w:rPr>
          <w:i/>
          <w:sz w:val="18"/>
        </w:rPr>
      </w:pPr>
    </w:p>
    <w:p w:rsidR="00E10130" w:rsidRDefault="00E10130" w:rsidP="00E10130">
      <w:pPr>
        <w:pStyle w:val="Paragraph"/>
        <w:spacing w:line="240" w:lineRule="auto"/>
        <w:ind w:left="372" w:firstLine="54"/>
        <w:jc w:val="left"/>
        <w:rPr>
          <w:rFonts w:ascii="Georgia" w:hAnsi="Georgia"/>
          <w:sz w:val="20"/>
          <w:szCs w:val="20"/>
        </w:rPr>
      </w:pPr>
    </w:p>
    <w:p w:rsidR="00E10130" w:rsidRDefault="00E10130" w:rsidP="00E10130">
      <w:pPr>
        <w:pStyle w:val="Paragraph"/>
        <w:spacing w:line="240" w:lineRule="auto"/>
        <w:ind w:left="372" w:firstLine="54"/>
        <w:jc w:val="left"/>
        <w:rPr>
          <w:rFonts w:ascii="Georgia" w:hAnsi="Georgia"/>
          <w:sz w:val="20"/>
          <w:szCs w:val="20"/>
        </w:rPr>
      </w:pPr>
    </w:p>
    <w:p w:rsidR="009D37E8" w:rsidRDefault="00E10130" w:rsidP="009D37E8">
      <w:pPr>
        <w:pStyle w:val="Paragraph"/>
        <w:spacing w:line="240" w:lineRule="auto"/>
        <w:ind w:left="372" w:firstLine="54"/>
        <w:jc w:val="left"/>
        <w:rPr>
          <w:rFonts w:ascii="Georgia" w:hAnsi="Georgia"/>
          <w:sz w:val="20"/>
          <w:szCs w:val="20"/>
        </w:rPr>
      </w:pPr>
      <w:r w:rsidRPr="009D37E8">
        <w:rPr>
          <w:rFonts w:ascii="Georgia" w:hAnsi="Georgia"/>
          <w:sz w:val="20"/>
          <w:szCs w:val="20"/>
        </w:rPr>
        <w:t>Kata kunci:</w:t>
      </w:r>
    </w:p>
    <w:p w:rsidR="009D37E8" w:rsidRDefault="009D37E8" w:rsidP="009D37E8">
      <w:pPr>
        <w:pStyle w:val="Paragraph"/>
        <w:spacing w:line="240" w:lineRule="auto"/>
        <w:ind w:left="372" w:firstLine="54"/>
        <w:jc w:val="left"/>
        <w:rPr>
          <w:rFonts w:ascii="Georgia" w:eastAsia="Cambria" w:hAnsi="Georgia"/>
          <w:iCs/>
          <w:sz w:val="20"/>
          <w:szCs w:val="20"/>
        </w:rPr>
      </w:pPr>
      <w:r>
        <w:rPr>
          <w:rFonts w:ascii="Georgia" w:eastAsia="Cambria" w:hAnsi="Georgia"/>
          <w:iCs/>
          <w:sz w:val="20"/>
          <w:szCs w:val="20"/>
        </w:rPr>
        <w:t>Technology;</w:t>
      </w:r>
    </w:p>
    <w:p w:rsidR="009D37E8" w:rsidRDefault="009D37E8" w:rsidP="009D37E8">
      <w:pPr>
        <w:pStyle w:val="Paragraph"/>
        <w:spacing w:line="240" w:lineRule="auto"/>
        <w:ind w:left="372" w:firstLine="54"/>
        <w:jc w:val="left"/>
        <w:rPr>
          <w:rFonts w:ascii="Georgia" w:eastAsia="Cambria" w:hAnsi="Georgia"/>
          <w:iCs/>
          <w:sz w:val="20"/>
          <w:szCs w:val="20"/>
        </w:rPr>
      </w:pPr>
      <w:r w:rsidRPr="009D37E8">
        <w:rPr>
          <w:rFonts w:ascii="Georgia" w:eastAsia="Cambria" w:hAnsi="Georgia"/>
          <w:iCs/>
          <w:sz w:val="20"/>
          <w:szCs w:val="20"/>
        </w:rPr>
        <w:t>Communic</w:t>
      </w:r>
      <w:r>
        <w:rPr>
          <w:rFonts w:ascii="Georgia" w:eastAsia="Cambria" w:hAnsi="Georgia"/>
          <w:iCs/>
          <w:sz w:val="20"/>
          <w:szCs w:val="20"/>
        </w:rPr>
        <w:t xml:space="preserve">atio; </w:t>
      </w:r>
      <w:r w:rsidRPr="009D37E8">
        <w:rPr>
          <w:rFonts w:ascii="Georgia" w:eastAsia="Cambria" w:hAnsi="Georgia"/>
          <w:iCs/>
          <w:sz w:val="20"/>
          <w:szCs w:val="20"/>
        </w:rPr>
        <w:t xml:space="preserve">Rule </w:t>
      </w:r>
      <w:r>
        <w:rPr>
          <w:rFonts w:ascii="Georgia" w:eastAsia="Cambria" w:hAnsi="Georgia"/>
          <w:iCs/>
          <w:sz w:val="20"/>
          <w:szCs w:val="20"/>
        </w:rPr>
        <w:t>of</w:t>
      </w:r>
    </w:p>
    <w:p w:rsidR="009D37E8" w:rsidRPr="009D37E8" w:rsidRDefault="009D37E8" w:rsidP="009D37E8">
      <w:pPr>
        <w:pStyle w:val="Paragraph"/>
        <w:spacing w:line="240" w:lineRule="auto"/>
        <w:ind w:left="372" w:firstLine="54"/>
        <w:jc w:val="left"/>
        <w:rPr>
          <w:rFonts w:ascii="Georgia" w:hAnsi="Georgia"/>
          <w:sz w:val="20"/>
          <w:szCs w:val="20"/>
        </w:rPr>
      </w:pPr>
      <w:r w:rsidRPr="009D37E8">
        <w:rPr>
          <w:rFonts w:ascii="Georgia" w:eastAsia="Cambria" w:hAnsi="Georgia"/>
          <w:iCs/>
          <w:sz w:val="20"/>
          <w:szCs w:val="20"/>
        </w:rPr>
        <w:t>La</w:t>
      </w:r>
      <w:r>
        <w:rPr>
          <w:rFonts w:ascii="Georgia" w:eastAsia="Cambria" w:hAnsi="Georgia"/>
          <w:iCs/>
          <w:sz w:val="20"/>
          <w:szCs w:val="20"/>
        </w:rPr>
        <w:t xml:space="preserve">w; </w:t>
      </w:r>
      <w:r w:rsidRPr="009D37E8">
        <w:rPr>
          <w:rFonts w:ascii="Georgia" w:eastAsia="Cambria" w:hAnsi="Georgia"/>
          <w:iCs/>
          <w:sz w:val="20"/>
          <w:szCs w:val="20"/>
        </w:rPr>
        <w:t>Covid-19</w:t>
      </w:r>
    </w:p>
    <w:p w:rsidR="00361865" w:rsidRPr="00590F2D" w:rsidRDefault="00361865" w:rsidP="00647886">
      <w:pPr>
        <w:spacing w:before="100"/>
        <w:ind w:left="480" w:right="745"/>
        <w:rPr>
          <w:b/>
        </w:rPr>
      </w:pPr>
    </w:p>
    <w:p w:rsidR="00D70BB9" w:rsidRDefault="00D70BB9" w:rsidP="00361865">
      <w:pPr>
        <w:ind w:left="480" w:right="1078"/>
        <w:rPr>
          <w:i/>
          <w:sz w:val="20"/>
        </w:rPr>
      </w:pPr>
    </w:p>
    <w:p w:rsidR="00B17AA4" w:rsidRDefault="00FD4394" w:rsidP="00B17AA4">
      <w:pPr>
        <w:ind w:left="347"/>
        <w:jc w:val="both"/>
        <w:rPr>
          <w:rFonts w:eastAsia="Cambria"/>
          <w:iCs/>
          <w:sz w:val="24"/>
          <w:szCs w:val="24"/>
        </w:rPr>
      </w:pPr>
      <w:r>
        <w:br w:type="column"/>
      </w:r>
      <w:r w:rsidR="00B17AA4" w:rsidRPr="00AB5116">
        <w:rPr>
          <w:rFonts w:eastAsia="Cambria"/>
          <w:iCs/>
          <w:sz w:val="24"/>
          <w:szCs w:val="24"/>
        </w:rPr>
        <w:t>Education, in</w:t>
      </w:r>
      <w:r w:rsidR="00B17AA4" w:rsidRPr="00AB5116">
        <w:rPr>
          <w:rFonts w:eastAsia="Cambria"/>
          <w:iCs/>
          <w:sz w:val="24"/>
          <w:szCs w:val="24"/>
          <w:lang w:val="id-ID"/>
        </w:rPr>
        <w:t xml:space="preserve"> the concept of rule of law </w:t>
      </w:r>
      <w:r w:rsidR="00B17AA4" w:rsidRPr="00AB5116">
        <w:rPr>
          <w:rFonts w:eastAsia="Cambria"/>
          <w:iCs/>
          <w:sz w:val="24"/>
          <w:szCs w:val="24"/>
        </w:rPr>
        <w:t>for</w:t>
      </w:r>
      <w:r w:rsidR="00B17AA4" w:rsidRPr="00AB5116">
        <w:rPr>
          <w:rFonts w:eastAsia="Cambria"/>
          <w:iCs/>
          <w:sz w:val="24"/>
          <w:szCs w:val="24"/>
          <w:lang w:val="id-ID"/>
        </w:rPr>
        <w:t xml:space="preserve"> students during the pandemic still requires various efforts </w:t>
      </w:r>
      <w:r w:rsidR="00B17AA4" w:rsidRPr="00AB5116">
        <w:rPr>
          <w:rFonts w:eastAsia="Cambria"/>
          <w:iCs/>
          <w:sz w:val="24"/>
          <w:szCs w:val="24"/>
        </w:rPr>
        <w:t>to foster</w:t>
      </w:r>
      <w:r w:rsidR="00B17AA4" w:rsidRPr="00AB5116">
        <w:rPr>
          <w:rFonts w:eastAsia="Cambria"/>
          <w:iCs/>
          <w:sz w:val="24"/>
          <w:szCs w:val="24"/>
          <w:lang w:val="id-ID"/>
        </w:rPr>
        <w:t xml:space="preserve"> an active participation </w:t>
      </w:r>
      <w:r w:rsidR="00B17AA4" w:rsidRPr="00AB5116">
        <w:rPr>
          <w:rFonts w:eastAsia="Cambria"/>
          <w:iCs/>
          <w:sz w:val="24"/>
          <w:szCs w:val="24"/>
        </w:rPr>
        <w:t>of</w:t>
      </w:r>
      <w:r w:rsidR="00B17AA4" w:rsidRPr="00AB5116">
        <w:rPr>
          <w:rFonts w:eastAsia="Cambria"/>
          <w:iCs/>
          <w:sz w:val="24"/>
          <w:szCs w:val="24"/>
          <w:lang w:val="id-ID"/>
        </w:rPr>
        <w:t xml:space="preserve"> students. </w:t>
      </w:r>
      <w:r w:rsidR="00B17AA4" w:rsidRPr="00AB5116">
        <w:rPr>
          <w:rFonts w:eastAsia="Cambria"/>
          <w:iCs/>
          <w:sz w:val="24"/>
          <w:szCs w:val="24"/>
        </w:rPr>
        <w:t>Education</w:t>
      </w:r>
      <w:r w:rsidR="00B17AA4" w:rsidRPr="00AB5116">
        <w:rPr>
          <w:rFonts w:eastAsia="Cambria"/>
          <w:iCs/>
          <w:sz w:val="24"/>
          <w:szCs w:val="24"/>
          <w:lang w:val="id-ID"/>
        </w:rPr>
        <w:t xml:space="preserve"> </w:t>
      </w:r>
      <w:proofErr w:type="gramStart"/>
      <w:r w:rsidR="00B17AA4" w:rsidRPr="00AB5116">
        <w:rPr>
          <w:rFonts w:eastAsia="Cambria"/>
          <w:iCs/>
          <w:sz w:val="24"/>
          <w:szCs w:val="24"/>
          <w:lang w:val="id-ID"/>
        </w:rPr>
        <w:t>can be carried out</w:t>
      </w:r>
      <w:proofErr w:type="gramEnd"/>
      <w:r w:rsidR="00B17AA4" w:rsidRPr="00AB5116">
        <w:rPr>
          <w:rFonts w:eastAsia="Cambria"/>
          <w:iCs/>
          <w:sz w:val="24"/>
          <w:szCs w:val="24"/>
          <w:lang w:val="id-ID"/>
        </w:rPr>
        <w:t xml:space="preserve"> by optimizing communication technology in the division during the Covid 19 pandemic. T</w:t>
      </w:r>
      <w:r w:rsidR="00B17AA4" w:rsidRPr="00AB5116">
        <w:rPr>
          <w:rFonts w:eastAsia="Cambria"/>
          <w:iCs/>
          <w:sz w:val="24"/>
          <w:szCs w:val="24"/>
        </w:rPr>
        <w:t xml:space="preserve">his study was descriptive research with </w:t>
      </w:r>
      <w:r w:rsidR="00B17AA4" w:rsidRPr="00AB5116">
        <w:rPr>
          <w:rFonts w:eastAsia="Cambria"/>
          <w:iCs/>
          <w:sz w:val="24"/>
          <w:szCs w:val="24"/>
          <w:lang w:val="id-ID"/>
        </w:rPr>
        <w:t xml:space="preserve">a qualitative approach </w:t>
      </w:r>
      <w:r w:rsidR="00B17AA4" w:rsidRPr="00AB5116">
        <w:rPr>
          <w:rFonts w:eastAsia="Cambria"/>
          <w:iCs/>
          <w:sz w:val="24"/>
          <w:szCs w:val="24"/>
        </w:rPr>
        <w:t xml:space="preserve">as methods. The study </w:t>
      </w:r>
      <w:proofErr w:type="gramStart"/>
      <w:r w:rsidR="00B17AA4" w:rsidRPr="00AB5116">
        <w:rPr>
          <w:rFonts w:eastAsia="Cambria"/>
          <w:iCs/>
          <w:sz w:val="24"/>
          <w:szCs w:val="24"/>
        </w:rPr>
        <w:t>was conducted</w:t>
      </w:r>
      <w:proofErr w:type="gramEnd"/>
      <w:r w:rsidR="00B17AA4" w:rsidRPr="00AB5116">
        <w:rPr>
          <w:rFonts w:eastAsia="Cambria"/>
          <w:iCs/>
          <w:sz w:val="24"/>
          <w:szCs w:val="24"/>
          <w:lang w:val="id-ID"/>
        </w:rPr>
        <w:t xml:space="preserve"> through interview, observation</w:t>
      </w:r>
      <w:r w:rsidR="00B17AA4" w:rsidRPr="00AB5116">
        <w:rPr>
          <w:rFonts w:eastAsia="Cambria"/>
          <w:iCs/>
          <w:sz w:val="24"/>
          <w:szCs w:val="24"/>
        </w:rPr>
        <w:t xml:space="preserve">, literature </w:t>
      </w:r>
      <w:r w:rsidR="00B17AA4" w:rsidRPr="00AB5116">
        <w:rPr>
          <w:rFonts w:eastAsia="Cambria"/>
          <w:iCs/>
          <w:sz w:val="24"/>
          <w:szCs w:val="24"/>
          <w:lang w:val="id-ID"/>
        </w:rPr>
        <w:t>studies</w:t>
      </w:r>
      <w:r w:rsidR="00B17AA4" w:rsidRPr="00AB5116">
        <w:rPr>
          <w:rFonts w:eastAsia="Cambria"/>
          <w:iCs/>
          <w:sz w:val="24"/>
          <w:szCs w:val="24"/>
        </w:rPr>
        <w:t>, and</w:t>
      </w:r>
      <w:r w:rsidR="00B17AA4" w:rsidRPr="00AB5116">
        <w:rPr>
          <w:rFonts w:eastAsia="Cambria"/>
          <w:iCs/>
          <w:sz w:val="24"/>
          <w:szCs w:val="24"/>
          <w:lang w:val="id-ID"/>
        </w:rPr>
        <w:t xml:space="preserve"> documentation. The </w:t>
      </w:r>
      <w:r w:rsidR="00B17AA4" w:rsidRPr="00AB5116">
        <w:rPr>
          <w:rFonts w:eastAsia="Cambria"/>
          <w:iCs/>
          <w:sz w:val="24"/>
          <w:szCs w:val="24"/>
        </w:rPr>
        <w:t xml:space="preserve">study has resulted some </w:t>
      </w:r>
      <w:r w:rsidR="00B17AA4" w:rsidRPr="00AB5116">
        <w:rPr>
          <w:rFonts w:eastAsia="Cambria"/>
          <w:iCs/>
          <w:sz w:val="24"/>
          <w:szCs w:val="24"/>
          <w:lang w:val="id-ID"/>
        </w:rPr>
        <w:t xml:space="preserve">findings: 1) communication technology as a vehicle for education in the concept of a rule of law in the academic community during the pandemic </w:t>
      </w:r>
      <w:r w:rsidR="00B17AA4" w:rsidRPr="00AB5116">
        <w:rPr>
          <w:rFonts w:eastAsia="Cambria"/>
          <w:iCs/>
          <w:sz w:val="24"/>
          <w:szCs w:val="24"/>
        </w:rPr>
        <w:t xml:space="preserve">purposed </w:t>
      </w:r>
      <w:r w:rsidR="00B17AA4" w:rsidRPr="00AB5116">
        <w:rPr>
          <w:rFonts w:eastAsia="Cambria"/>
          <w:iCs/>
          <w:sz w:val="24"/>
          <w:szCs w:val="24"/>
          <w:lang w:val="id-ID"/>
        </w:rPr>
        <w:t xml:space="preserve">to teach students about rights and obligations as good citizens, 2) </w:t>
      </w:r>
      <w:r w:rsidR="00B17AA4" w:rsidRPr="00AB5116">
        <w:rPr>
          <w:rFonts w:eastAsia="Cambria"/>
          <w:iCs/>
          <w:sz w:val="24"/>
          <w:szCs w:val="24"/>
        </w:rPr>
        <w:t>the c</w:t>
      </w:r>
      <w:r w:rsidR="00B17AA4" w:rsidRPr="00AB5116">
        <w:rPr>
          <w:rFonts w:eastAsia="Cambria"/>
          <w:iCs/>
          <w:sz w:val="24"/>
          <w:szCs w:val="24"/>
          <w:lang w:val="id-ID"/>
        </w:rPr>
        <w:t>ampus ha</w:t>
      </w:r>
      <w:r w:rsidR="00B17AA4" w:rsidRPr="00AB5116">
        <w:rPr>
          <w:rFonts w:eastAsia="Cambria"/>
          <w:iCs/>
          <w:sz w:val="24"/>
          <w:szCs w:val="24"/>
        </w:rPr>
        <w:t>d</w:t>
      </w:r>
      <w:r w:rsidR="00B17AA4" w:rsidRPr="00AB5116">
        <w:rPr>
          <w:rFonts w:eastAsia="Cambria"/>
          <w:iCs/>
          <w:sz w:val="24"/>
          <w:szCs w:val="24"/>
          <w:lang w:val="id-ID"/>
        </w:rPr>
        <w:t xml:space="preserve"> a role </w:t>
      </w:r>
      <w:r w:rsidR="00B17AA4" w:rsidRPr="00AB5116">
        <w:rPr>
          <w:rFonts w:eastAsia="Cambria"/>
          <w:iCs/>
          <w:sz w:val="24"/>
          <w:szCs w:val="24"/>
        </w:rPr>
        <w:t>to provide</w:t>
      </w:r>
      <w:r w:rsidR="00B17AA4" w:rsidRPr="00AB5116">
        <w:rPr>
          <w:rFonts w:eastAsia="Cambria"/>
          <w:iCs/>
          <w:sz w:val="24"/>
          <w:szCs w:val="24"/>
          <w:lang w:val="id-ID"/>
        </w:rPr>
        <w:t xml:space="preserve"> the concept of a law state through student campus activity programs, </w:t>
      </w:r>
      <w:r w:rsidR="00B17AA4" w:rsidRPr="00AB5116">
        <w:rPr>
          <w:rFonts w:eastAsia="Cambria"/>
          <w:iCs/>
          <w:sz w:val="24"/>
          <w:szCs w:val="24"/>
        </w:rPr>
        <w:t xml:space="preserve">and </w:t>
      </w:r>
      <w:r w:rsidR="00B17AA4" w:rsidRPr="00AB5116">
        <w:rPr>
          <w:rFonts w:eastAsia="Cambria"/>
          <w:iCs/>
          <w:sz w:val="24"/>
          <w:szCs w:val="24"/>
          <w:lang w:val="id-ID"/>
        </w:rPr>
        <w:t xml:space="preserve">3) a way out </w:t>
      </w:r>
      <w:r w:rsidR="00B17AA4" w:rsidRPr="00AB5116">
        <w:rPr>
          <w:rFonts w:eastAsia="Cambria"/>
          <w:iCs/>
          <w:sz w:val="24"/>
          <w:szCs w:val="24"/>
        </w:rPr>
        <w:t>to deal</w:t>
      </w:r>
      <w:r w:rsidR="00B17AA4" w:rsidRPr="00AB5116">
        <w:rPr>
          <w:rFonts w:eastAsia="Cambria"/>
          <w:iCs/>
          <w:sz w:val="24"/>
          <w:szCs w:val="24"/>
          <w:lang w:val="id-ID"/>
        </w:rPr>
        <w:t xml:space="preserve"> with educational obstacles</w:t>
      </w:r>
      <w:r w:rsidR="00B17AA4" w:rsidRPr="00AB5116">
        <w:rPr>
          <w:rFonts w:eastAsia="Cambria"/>
          <w:iCs/>
          <w:sz w:val="24"/>
          <w:szCs w:val="24"/>
        </w:rPr>
        <w:t xml:space="preserve"> was that</w:t>
      </w:r>
      <w:r w:rsidR="00B17AA4" w:rsidRPr="00AB5116">
        <w:rPr>
          <w:sz w:val="24"/>
          <w:szCs w:val="24"/>
          <w:lang w:val="id-ID"/>
        </w:rPr>
        <w:t xml:space="preserve"> </w:t>
      </w:r>
      <w:r w:rsidR="00B17AA4" w:rsidRPr="00AB5116">
        <w:rPr>
          <w:rFonts w:eastAsia="Cambria"/>
          <w:iCs/>
          <w:sz w:val="24"/>
          <w:szCs w:val="24"/>
        </w:rPr>
        <w:t>t</w:t>
      </w:r>
      <w:r w:rsidR="00B17AA4" w:rsidRPr="00AB5116">
        <w:rPr>
          <w:rFonts w:eastAsia="Cambria"/>
          <w:iCs/>
          <w:sz w:val="24"/>
          <w:szCs w:val="24"/>
          <w:lang w:val="id-ID"/>
        </w:rPr>
        <w:t xml:space="preserve">he concept of a rule of law during a pandemic </w:t>
      </w:r>
      <w:r w:rsidR="00B17AA4" w:rsidRPr="00AB5116">
        <w:rPr>
          <w:rFonts w:eastAsia="Cambria"/>
          <w:iCs/>
          <w:sz w:val="24"/>
          <w:szCs w:val="24"/>
        </w:rPr>
        <w:t>was</w:t>
      </w:r>
      <w:r w:rsidR="00B17AA4" w:rsidRPr="00AB5116">
        <w:rPr>
          <w:rFonts w:eastAsia="Cambria"/>
          <w:iCs/>
          <w:sz w:val="24"/>
          <w:szCs w:val="24"/>
          <w:lang w:val="id-ID"/>
        </w:rPr>
        <w:t xml:space="preserve"> to improve the quality of programs during learning </w:t>
      </w:r>
      <w:r w:rsidR="00B17AA4" w:rsidRPr="00AB5116">
        <w:rPr>
          <w:rFonts w:eastAsia="Cambria"/>
          <w:iCs/>
          <w:sz w:val="24"/>
          <w:szCs w:val="24"/>
        </w:rPr>
        <w:t>within</w:t>
      </w:r>
      <w:r w:rsidR="00B17AA4" w:rsidRPr="00AB5116">
        <w:rPr>
          <w:rFonts w:eastAsia="Cambria"/>
          <w:iCs/>
          <w:sz w:val="24"/>
          <w:szCs w:val="24"/>
          <w:lang w:val="id-ID"/>
        </w:rPr>
        <w:t xml:space="preserve"> the Covid 19 pandemic</w:t>
      </w:r>
      <w:r w:rsidR="00B17AA4">
        <w:rPr>
          <w:rFonts w:eastAsia="Cambria"/>
          <w:iCs/>
          <w:sz w:val="24"/>
          <w:szCs w:val="24"/>
        </w:rPr>
        <w:t xml:space="preserve">. </w:t>
      </w:r>
    </w:p>
    <w:p w:rsidR="008143D2" w:rsidRDefault="008143D2" w:rsidP="00055C99">
      <w:pPr>
        <w:pStyle w:val="Paragraph"/>
        <w:spacing w:line="240" w:lineRule="auto"/>
        <w:ind w:left="284" w:right="165" w:firstLine="0"/>
        <w:rPr>
          <w:noProof/>
          <w:color w:val="0D0D0D" w:themeColor="text1" w:themeTint="F2"/>
          <w:sz w:val="20"/>
          <w:szCs w:val="20"/>
        </w:rPr>
      </w:pPr>
      <w:r>
        <w:rPr>
          <w:noProof/>
          <w:color w:val="0D0D0D" w:themeColor="text1" w:themeTint="F2"/>
          <w:sz w:val="20"/>
          <w:szCs w:val="20"/>
          <w:lang w:val="id-ID"/>
        </w:rPr>
        <w:t xml:space="preserve"> </w:t>
      </w:r>
      <w:r>
        <w:rPr>
          <w:noProof/>
          <w:color w:val="0D0D0D" w:themeColor="text1" w:themeTint="F2"/>
          <w:sz w:val="20"/>
          <w:szCs w:val="20"/>
        </w:rPr>
        <w:t xml:space="preserve"> </w:t>
      </w:r>
    </w:p>
    <w:p w:rsidR="00361865" w:rsidRDefault="00FD4394" w:rsidP="008143D2">
      <w:pPr>
        <w:ind w:left="347" w:right="463"/>
        <w:jc w:val="both"/>
        <w:rPr>
          <w:b/>
          <w:sz w:val="20"/>
        </w:rPr>
      </w:pPr>
      <w:r>
        <w:rPr>
          <w:b/>
          <w:sz w:val="20"/>
        </w:rPr>
        <w:t>Abstrak</w:t>
      </w:r>
    </w:p>
    <w:p w:rsidR="00B17AA4" w:rsidRDefault="00B17AA4" w:rsidP="008143D2">
      <w:pPr>
        <w:ind w:left="347" w:right="463"/>
        <w:jc w:val="both"/>
        <w:rPr>
          <w:b/>
          <w:sz w:val="20"/>
        </w:rPr>
      </w:pPr>
    </w:p>
    <w:p w:rsidR="00B17AA4" w:rsidRDefault="00B17AA4" w:rsidP="00B17AA4">
      <w:pPr>
        <w:ind w:left="347"/>
        <w:jc w:val="both"/>
        <w:rPr>
          <w:rFonts w:eastAsia="Cambria"/>
          <w:iCs/>
          <w:sz w:val="24"/>
          <w:szCs w:val="24"/>
        </w:rPr>
      </w:pPr>
      <w:r w:rsidRPr="00AB5116">
        <w:rPr>
          <w:rFonts w:eastAsia="Cambria"/>
          <w:iCs/>
          <w:sz w:val="24"/>
          <w:szCs w:val="24"/>
        </w:rPr>
        <w:t>Education, in</w:t>
      </w:r>
      <w:r w:rsidRPr="00AB5116">
        <w:rPr>
          <w:rFonts w:eastAsia="Cambria"/>
          <w:iCs/>
          <w:sz w:val="24"/>
          <w:szCs w:val="24"/>
          <w:lang w:val="id-ID"/>
        </w:rPr>
        <w:t xml:space="preserve"> the concept of rule of law </w:t>
      </w:r>
      <w:r w:rsidRPr="00AB5116">
        <w:rPr>
          <w:rFonts w:eastAsia="Cambria"/>
          <w:iCs/>
          <w:sz w:val="24"/>
          <w:szCs w:val="24"/>
        </w:rPr>
        <w:t>for</w:t>
      </w:r>
      <w:r w:rsidRPr="00AB5116">
        <w:rPr>
          <w:rFonts w:eastAsia="Cambria"/>
          <w:iCs/>
          <w:sz w:val="24"/>
          <w:szCs w:val="24"/>
          <w:lang w:val="id-ID"/>
        </w:rPr>
        <w:t xml:space="preserve"> students during the pandemic still requires various efforts </w:t>
      </w:r>
      <w:r w:rsidRPr="00AB5116">
        <w:rPr>
          <w:rFonts w:eastAsia="Cambria"/>
          <w:iCs/>
          <w:sz w:val="24"/>
          <w:szCs w:val="24"/>
        </w:rPr>
        <w:t>to foster</w:t>
      </w:r>
      <w:r w:rsidRPr="00AB5116">
        <w:rPr>
          <w:rFonts w:eastAsia="Cambria"/>
          <w:iCs/>
          <w:sz w:val="24"/>
          <w:szCs w:val="24"/>
          <w:lang w:val="id-ID"/>
        </w:rPr>
        <w:t xml:space="preserve"> an active participation </w:t>
      </w:r>
      <w:r w:rsidRPr="00AB5116">
        <w:rPr>
          <w:rFonts w:eastAsia="Cambria"/>
          <w:iCs/>
          <w:sz w:val="24"/>
          <w:szCs w:val="24"/>
        </w:rPr>
        <w:t>of</w:t>
      </w:r>
      <w:r w:rsidRPr="00AB5116">
        <w:rPr>
          <w:rFonts w:eastAsia="Cambria"/>
          <w:iCs/>
          <w:sz w:val="24"/>
          <w:szCs w:val="24"/>
          <w:lang w:val="id-ID"/>
        </w:rPr>
        <w:t xml:space="preserve"> students. </w:t>
      </w:r>
      <w:r w:rsidRPr="00AB5116">
        <w:rPr>
          <w:rFonts w:eastAsia="Cambria"/>
          <w:iCs/>
          <w:sz w:val="24"/>
          <w:szCs w:val="24"/>
        </w:rPr>
        <w:t>Education</w:t>
      </w:r>
      <w:r w:rsidRPr="00AB5116">
        <w:rPr>
          <w:rFonts w:eastAsia="Cambria"/>
          <w:iCs/>
          <w:sz w:val="24"/>
          <w:szCs w:val="24"/>
          <w:lang w:val="id-ID"/>
        </w:rPr>
        <w:t xml:space="preserve"> </w:t>
      </w:r>
      <w:proofErr w:type="gramStart"/>
      <w:r w:rsidRPr="00AB5116">
        <w:rPr>
          <w:rFonts w:eastAsia="Cambria"/>
          <w:iCs/>
          <w:sz w:val="24"/>
          <w:szCs w:val="24"/>
          <w:lang w:val="id-ID"/>
        </w:rPr>
        <w:t>can be carried out</w:t>
      </w:r>
      <w:proofErr w:type="gramEnd"/>
      <w:r w:rsidRPr="00AB5116">
        <w:rPr>
          <w:rFonts w:eastAsia="Cambria"/>
          <w:iCs/>
          <w:sz w:val="24"/>
          <w:szCs w:val="24"/>
          <w:lang w:val="id-ID"/>
        </w:rPr>
        <w:t xml:space="preserve"> by optimizing communication technology in the division during the Covid 19 pandemic. T</w:t>
      </w:r>
      <w:r w:rsidRPr="00AB5116">
        <w:rPr>
          <w:rFonts w:eastAsia="Cambria"/>
          <w:iCs/>
          <w:sz w:val="24"/>
          <w:szCs w:val="24"/>
        </w:rPr>
        <w:t xml:space="preserve">his study was descriptive research with </w:t>
      </w:r>
      <w:r w:rsidRPr="00AB5116">
        <w:rPr>
          <w:rFonts w:eastAsia="Cambria"/>
          <w:iCs/>
          <w:sz w:val="24"/>
          <w:szCs w:val="24"/>
          <w:lang w:val="id-ID"/>
        </w:rPr>
        <w:t xml:space="preserve">a qualitative approach </w:t>
      </w:r>
      <w:r w:rsidRPr="00AB5116">
        <w:rPr>
          <w:rFonts w:eastAsia="Cambria"/>
          <w:iCs/>
          <w:sz w:val="24"/>
          <w:szCs w:val="24"/>
        </w:rPr>
        <w:t xml:space="preserve">as methods. The study </w:t>
      </w:r>
      <w:proofErr w:type="gramStart"/>
      <w:r w:rsidRPr="00AB5116">
        <w:rPr>
          <w:rFonts w:eastAsia="Cambria"/>
          <w:iCs/>
          <w:sz w:val="24"/>
          <w:szCs w:val="24"/>
        </w:rPr>
        <w:t>was conducted</w:t>
      </w:r>
      <w:proofErr w:type="gramEnd"/>
      <w:r w:rsidRPr="00AB5116">
        <w:rPr>
          <w:rFonts w:eastAsia="Cambria"/>
          <w:iCs/>
          <w:sz w:val="24"/>
          <w:szCs w:val="24"/>
          <w:lang w:val="id-ID"/>
        </w:rPr>
        <w:t xml:space="preserve"> through interview, observation</w:t>
      </w:r>
      <w:r w:rsidRPr="00AB5116">
        <w:rPr>
          <w:rFonts w:eastAsia="Cambria"/>
          <w:iCs/>
          <w:sz w:val="24"/>
          <w:szCs w:val="24"/>
        </w:rPr>
        <w:t xml:space="preserve">, literature </w:t>
      </w:r>
      <w:r w:rsidRPr="00AB5116">
        <w:rPr>
          <w:rFonts w:eastAsia="Cambria"/>
          <w:iCs/>
          <w:sz w:val="24"/>
          <w:szCs w:val="24"/>
          <w:lang w:val="id-ID"/>
        </w:rPr>
        <w:t>studies</w:t>
      </w:r>
      <w:r w:rsidRPr="00AB5116">
        <w:rPr>
          <w:rFonts w:eastAsia="Cambria"/>
          <w:iCs/>
          <w:sz w:val="24"/>
          <w:szCs w:val="24"/>
        </w:rPr>
        <w:t>, and</w:t>
      </w:r>
      <w:r w:rsidRPr="00AB5116">
        <w:rPr>
          <w:rFonts w:eastAsia="Cambria"/>
          <w:iCs/>
          <w:sz w:val="24"/>
          <w:szCs w:val="24"/>
          <w:lang w:val="id-ID"/>
        </w:rPr>
        <w:t xml:space="preserve"> documentation. The </w:t>
      </w:r>
      <w:r w:rsidRPr="00AB5116">
        <w:rPr>
          <w:rFonts w:eastAsia="Cambria"/>
          <w:iCs/>
          <w:sz w:val="24"/>
          <w:szCs w:val="24"/>
        </w:rPr>
        <w:t xml:space="preserve">study has resulted some </w:t>
      </w:r>
      <w:r w:rsidRPr="00AB5116">
        <w:rPr>
          <w:rFonts w:eastAsia="Cambria"/>
          <w:iCs/>
          <w:sz w:val="24"/>
          <w:szCs w:val="24"/>
          <w:lang w:val="id-ID"/>
        </w:rPr>
        <w:t xml:space="preserve">findings: 1) communication technology as a vehicle for education in the concept of a rule of law in the academic community during the pandemic </w:t>
      </w:r>
      <w:r w:rsidRPr="00AB5116">
        <w:rPr>
          <w:rFonts w:eastAsia="Cambria"/>
          <w:iCs/>
          <w:sz w:val="24"/>
          <w:szCs w:val="24"/>
        </w:rPr>
        <w:t xml:space="preserve">purposed </w:t>
      </w:r>
      <w:r w:rsidRPr="00AB5116">
        <w:rPr>
          <w:rFonts w:eastAsia="Cambria"/>
          <w:iCs/>
          <w:sz w:val="24"/>
          <w:szCs w:val="24"/>
          <w:lang w:val="id-ID"/>
        </w:rPr>
        <w:t xml:space="preserve">to teach students about rights and obligations as good citizens, 2) </w:t>
      </w:r>
      <w:r w:rsidRPr="00AB5116">
        <w:rPr>
          <w:rFonts w:eastAsia="Cambria"/>
          <w:iCs/>
          <w:sz w:val="24"/>
          <w:szCs w:val="24"/>
        </w:rPr>
        <w:t>the c</w:t>
      </w:r>
      <w:r w:rsidRPr="00AB5116">
        <w:rPr>
          <w:rFonts w:eastAsia="Cambria"/>
          <w:iCs/>
          <w:sz w:val="24"/>
          <w:szCs w:val="24"/>
          <w:lang w:val="id-ID"/>
        </w:rPr>
        <w:t>ampus ha</w:t>
      </w:r>
      <w:r w:rsidRPr="00AB5116">
        <w:rPr>
          <w:rFonts w:eastAsia="Cambria"/>
          <w:iCs/>
          <w:sz w:val="24"/>
          <w:szCs w:val="24"/>
        </w:rPr>
        <w:t>d</w:t>
      </w:r>
      <w:r w:rsidRPr="00AB5116">
        <w:rPr>
          <w:rFonts w:eastAsia="Cambria"/>
          <w:iCs/>
          <w:sz w:val="24"/>
          <w:szCs w:val="24"/>
          <w:lang w:val="id-ID"/>
        </w:rPr>
        <w:t xml:space="preserve"> a role </w:t>
      </w:r>
      <w:r w:rsidRPr="00AB5116">
        <w:rPr>
          <w:rFonts w:eastAsia="Cambria"/>
          <w:iCs/>
          <w:sz w:val="24"/>
          <w:szCs w:val="24"/>
        </w:rPr>
        <w:t>to provide</w:t>
      </w:r>
      <w:r w:rsidRPr="00AB5116">
        <w:rPr>
          <w:rFonts w:eastAsia="Cambria"/>
          <w:iCs/>
          <w:sz w:val="24"/>
          <w:szCs w:val="24"/>
          <w:lang w:val="id-ID"/>
        </w:rPr>
        <w:t xml:space="preserve"> the concept of a law state through student campus activity programs, </w:t>
      </w:r>
      <w:r w:rsidRPr="00AB5116">
        <w:rPr>
          <w:rFonts w:eastAsia="Cambria"/>
          <w:iCs/>
          <w:sz w:val="24"/>
          <w:szCs w:val="24"/>
        </w:rPr>
        <w:t xml:space="preserve">and </w:t>
      </w:r>
      <w:r w:rsidRPr="00AB5116">
        <w:rPr>
          <w:rFonts w:eastAsia="Cambria"/>
          <w:iCs/>
          <w:sz w:val="24"/>
          <w:szCs w:val="24"/>
          <w:lang w:val="id-ID"/>
        </w:rPr>
        <w:t xml:space="preserve">3) a way out </w:t>
      </w:r>
      <w:r w:rsidRPr="00AB5116">
        <w:rPr>
          <w:rFonts w:eastAsia="Cambria"/>
          <w:iCs/>
          <w:sz w:val="24"/>
          <w:szCs w:val="24"/>
        </w:rPr>
        <w:t>to deal</w:t>
      </w:r>
      <w:r w:rsidRPr="00AB5116">
        <w:rPr>
          <w:rFonts w:eastAsia="Cambria"/>
          <w:iCs/>
          <w:sz w:val="24"/>
          <w:szCs w:val="24"/>
          <w:lang w:val="id-ID"/>
        </w:rPr>
        <w:t xml:space="preserve"> with educational obstacles</w:t>
      </w:r>
      <w:r w:rsidRPr="00AB5116">
        <w:rPr>
          <w:rFonts w:eastAsia="Cambria"/>
          <w:iCs/>
          <w:sz w:val="24"/>
          <w:szCs w:val="24"/>
        </w:rPr>
        <w:t xml:space="preserve"> was that</w:t>
      </w:r>
      <w:r w:rsidRPr="00AB5116">
        <w:rPr>
          <w:sz w:val="24"/>
          <w:szCs w:val="24"/>
          <w:lang w:val="id-ID"/>
        </w:rPr>
        <w:t xml:space="preserve"> </w:t>
      </w:r>
      <w:r w:rsidRPr="00AB5116">
        <w:rPr>
          <w:rFonts w:eastAsia="Cambria"/>
          <w:iCs/>
          <w:sz w:val="24"/>
          <w:szCs w:val="24"/>
        </w:rPr>
        <w:t>t</w:t>
      </w:r>
      <w:r w:rsidRPr="00AB5116">
        <w:rPr>
          <w:rFonts w:eastAsia="Cambria"/>
          <w:iCs/>
          <w:sz w:val="24"/>
          <w:szCs w:val="24"/>
          <w:lang w:val="id-ID"/>
        </w:rPr>
        <w:t xml:space="preserve">he concept of a rule of law during a pandemic </w:t>
      </w:r>
      <w:r w:rsidRPr="00AB5116">
        <w:rPr>
          <w:rFonts w:eastAsia="Cambria"/>
          <w:iCs/>
          <w:sz w:val="24"/>
          <w:szCs w:val="24"/>
        </w:rPr>
        <w:t>was</w:t>
      </w:r>
      <w:r w:rsidRPr="00AB5116">
        <w:rPr>
          <w:rFonts w:eastAsia="Cambria"/>
          <w:iCs/>
          <w:sz w:val="24"/>
          <w:szCs w:val="24"/>
          <w:lang w:val="id-ID"/>
        </w:rPr>
        <w:t xml:space="preserve"> to improve the quality of programs during learning </w:t>
      </w:r>
      <w:r w:rsidRPr="00AB5116">
        <w:rPr>
          <w:rFonts w:eastAsia="Cambria"/>
          <w:iCs/>
          <w:sz w:val="24"/>
          <w:szCs w:val="24"/>
        </w:rPr>
        <w:t>within</w:t>
      </w:r>
      <w:r w:rsidRPr="00AB5116">
        <w:rPr>
          <w:rFonts w:eastAsia="Cambria"/>
          <w:iCs/>
          <w:sz w:val="24"/>
          <w:szCs w:val="24"/>
          <w:lang w:val="id-ID"/>
        </w:rPr>
        <w:t xml:space="preserve"> the Covid 19 pandemic</w:t>
      </w:r>
      <w:r>
        <w:rPr>
          <w:rFonts w:eastAsia="Cambria"/>
          <w:iCs/>
          <w:sz w:val="24"/>
          <w:szCs w:val="24"/>
        </w:rPr>
        <w:t xml:space="preserve">. </w:t>
      </w:r>
    </w:p>
    <w:p w:rsidR="00361865" w:rsidRPr="00B17AA4" w:rsidRDefault="00361865" w:rsidP="00055C99">
      <w:pPr>
        <w:ind w:left="347"/>
        <w:jc w:val="both"/>
        <w:rPr>
          <w:sz w:val="20"/>
        </w:rPr>
        <w:sectPr w:rsidR="00361865" w:rsidRPr="00B17AA4">
          <w:type w:val="continuous"/>
          <w:pgSz w:w="11910" w:h="16840"/>
          <w:pgMar w:top="960" w:right="380" w:bottom="280" w:left="940" w:header="720" w:footer="720" w:gutter="0"/>
          <w:cols w:num="2" w:space="720" w:equalWidth="0">
            <w:col w:w="2588" w:space="40"/>
            <w:col w:w="7962"/>
          </w:cols>
        </w:sectPr>
      </w:pPr>
    </w:p>
    <w:p w:rsidR="00D70BB9" w:rsidRDefault="00D70BB9" w:rsidP="00361865">
      <w:pPr>
        <w:tabs>
          <w:tab w:val="left" w:pos="2974"/>
        </w:tabs>
        <w:spacing w:before="1"/>
        <w:rPr>
          <w:sz w:val="20"/>
        </w:rPr>
      </w:pPr>
    </w:p>
    <w:p w:rsidR="00D70BB9" w:rsidRDefault="004572B7">
      <w:pPr>
        <w:pStyle w:val="BodyText"/>
        <w:spacing w:before="7"/>
        <w:rPr>
          <w:sz w:val="17"/>
        </w:rPr>
      </w:pPr>
      <w:r>
        <w:rPr>
          <w:noProof/>
          <w:sz w:val="17"/>
        </w:rPr>
        <w:pict>
          <v:shapetype id="_x0000_t32" coordsize="21600,21600" o:spt="32" o:oned="t" path="m,l21600,21600e" filled="f">
            <v:path arrowok="t" fillok="f" o:connecttype="none"/>
            <o:lock v:ext="edit" shapetype="t"/>
          </v:shapetype>
          <v:shape id="_x0000_s1145" type="#_x0000_t32" style="position:absolute;margin-left:18.95pt;margin-top:7.35pt;width:504.65pt;height:.05pt;z-index:487604224" o:connectortype="straight"/>
        </w:pict>
      </w:r>
    </w:p>
    <w:p w:rsidR="00E63E6D" w:rsidRDefault="009D37E8" w:rsidP="009D37E8">
      <w:pPr>
        <w:ind w:left="480" w:right="5847"/>
        <w:rPr>
          <w:rFonts w:eastAsia="Cambria"/>
          <w:iCs/>
          <w:lang w:val="id-ID"/>
        </w:rPr>
      </w:pPr>
      <w:r w:rsidRPr="009D37E8">
        <w:rPr>
          <w:rFonts w:eastAsia="Cambria"/>
          <w:iCs/>
          <w:lang w:val="id-ID"/>
        </w:rPr>
        <w:t xml:space="preserve">Pendidikan Pancasila dan Kewarganegaraan </w:t>
      </w:r>
    </w:p>
    <w:p w:rsidR="009D37E8" w:rsidRPr="009D37E8" w:rsidRDefault="009D37E8" w:rsidP="009D37E8">
      <w:pPr>
        <w:ind w:left="480" w:right="5847"/>
        <w:rPr>
          <w:rFonts w:eastAsia="Cambria"/>
          <w:iCs/>
          <w:lang w:val="id-ID"/>
        </w:rPr>
      </w:pPr>
      <w:r w:rsidRPr="009D37E8">
        <w:rPr>
          <w:rFonts w:eastAsia="Cambria"/>
          <w:iCs/>
          <w:lang w:val="id-ID"/>
        </w:rPr>
        <w:t>STKIP Pasundan Cimahi, Jawa Barat</w:t>
      </w:r>
    </w:p>
    <w:p w:rsidR="009D37E8" w:rsidRPr="009D37E8" w:rsidRDefault="009D37E8" w:rsidP="009D37E8">
      <w:pPr>
        <w:ind w:left="480" w:right="5847"/>
        <w:rPr>
          <w:rFonts w:eastAsia="Cambria"/>
          <w:iCs/>
          <w:lang w:val="id-ID"/>
        </w:rPr>
      </w:pPr>
      <w:hyperlink r:id="rId11" w:history="1">
        <w:r w:rsidRPr="009D37E8">
          <w:rPr>
            <w:rStyle w:val="Hyperlink"/>
            <w:rFonts w:eastAsia="Cambria"/>
            <w:iCs/>
            <w:color w:val="auto"/>
            <w:u w:val="none"/>
            <w:lang w:val="id-ID"/>
          </w:rPr>
          <w:t>yusuffaisalali2016@gmail.com</w:t>
        </w:r>
      </w:hyperlink>
    </w:p>
    <w:p w:rsidR="009D37E8" w:rsidRPr="009D37E8" w:rsidRDefault="009D37E8" w:rsidP="009D37E8">
      <w:pPr>
        <w:ind w:left="480" w:right="5847"/>
        <w:rPr>
          <w:sz w:val="20"/>
          <w:szCs w:val="20"/>
        </w:rPr>
      </w:pPr>
    </w:p>
    <w:p w:rsidR="0087154B" w:rsidRPr="002078BB" w:rsidRDefault="002078BB" w:rsidP="00337161">
      <w:pPr>
        <w:ind w:left="480" w:right="5847"/>
        <w:rPr>
          <w:color w:val="0D0D0D" w:themeColor="text1" w:themeTint="F2"/>
          <w:u w:val="single"/>
        </w:rPr>
      </w:pPr>
      <w:r>
        <w:t xml:space="preserve"> </w:t>
      </w:r>
      <w:r w:rsidR="0087154B" w:rsidRPr="002078BB">
        <w:t xml:space="preserve"> </w:t>
      </w:r>
      <w:r>
        <w:t xml:space="preserve"> </w:t>
      </w:r>
    </w:p>
    <w:p w:rsidR="00337161" w:rsidRPr="00337161" w:rsidRDefault="00337161" w:rsidP="00D25361">
      <w:pPr>
        <w:ind w:left="480" w:right="5847"/>
        <w:rPr>
          <w:sz w:val="18"/>
          <w:szCs w:val="18"/>
        </w:rPr>
      </w:pPr>
    </w:p>
    <w:p w:rsidR="001D5A1C" w:rsidRDefault="001D5A1C">
      <w:pPr>
        <w:ind w:left="480" w:right="5847"/>
        <w:rPr>
          <w:sz w:val="18"/>
        </w:rPr>
      </w:pPr>
    </w:p>
    <w:p w:rsidR="009D37E8" w:rsidRDefault="009D37E8">
      <w:pPr>
        <w:ind w:left="480" w:right="5847"/>
        <w:rPr>
          <w:sz w:val="18"/>
        </w:rPr>
      </w:pPr>
    </w:p>
    <w:p w:rsidR="00D70BB9" w:rsidRDefault="00FD4394">
      <w:pPr>
        <w:spacing w:before="100"/>
        <w:ind w:left="480"/>
        <w:rPr>
          <w:sz w:val="16"/>
        </w:rPr>
      </w:pPr>
      <w:r>
        <w:rPr>
          <w:sz w:val="16"/>
        </w:rPr>
        <w:lastRenderedPageBreak/>
        <w:t>V</w:t>
      </w:r>
      <w:r>
        <w:rPr>
          <w:spacing w:val="-1"/>
          <w:sz w:val="16"/>
        </w:rPr>
        <w:t>ol.</w:t>
      </w:r>
      <w:r w:rsidR="001D5A1C">
        <w:rPr>
          <w:smallCaps/>
          <w:sz w:val="16"/>
        </w:rPr>
        <w:t>xxx</w:t>
      </w:r>
      <w:r>
        <w:rPr>
          <w:rFonts w:ascii="Times New Roman"/>
          <w:spacing w:val="-2"/>
          <w:sz w:val="16"/>
        </w:rPr>
        <w:t xml:space="preserve"> </w:t>
      </w:r>
      <w:proofErr w:type="gramStart"/>
      <w:r>
        <w:rPr>
          <w:spacing w:val="-3"/>
          <w:sz w:val="16"/>
        </w:rPr>
        <w:t>A</w:t>
      </w:r>
      <w:r>
        <w:rPr>
          <w:spacing w:val="1"/>
          <w:sz w:val="16"/>
        </w:rPr>
        <w:t>u</w:t>
      </w:r>
      <w:r>
        <w:rPr>
          <w:spacing w:val="-1"/>
          <w:sz w:val="16"/>
        </w:rPr>
        <w:t>g</w:t>
      </w:r>
      <w:r>
        <w:rPr>
          <w:spacing w:val="-2"/>
          <w:sz w:val="16"/>
        </w:rPr>
        <w:t>u</w:t>
      </w:r>
      <w:r>
        <w:rPr>
          <w:sz w:val="16"/>
        </w:rPr>
        <w:t>s</w:t>
      </w:r>
      <w:r>
        <w:rPr>
          <w:spacing w:val="-1"/>
          <w:sz w:val="16"/>
        </w:rPr>
        <w:t>t</w:t>
      </w:r>
      <w:r>
        <w:rPr>
          <w:sz w:val="16"/>
        </w:rPr>
        <w:t>,</w:t>
      </w:r>
      <w:proofErr w:type="gramEnd"/>
      <w:r>
        <w:rPr>
          <w:rFonts w:ascii="Times New Roman"/>
          <w:spacing w:val="-2"/>
          <w:sz w:val="16"/>
        </w:rPr>
        <w:t xml:space="preserve"> </w:t>
      </w:r>
      <w:r>
        <w:rPr>
          <w:smallCaps/>
          <w:spacing w:val="-1"/>
          <w:sz w:val="16"/>
        </w:rPr>
        <w:t>2</w:t>
      </w:r>
      <w:r>
        <w:rPr>
          <w:spacing w:val="-1"/>
          <w:sz w:val="16"/>
        </w:rPr>
        <w:t>0</w:t>
      </w:r>
      <w:r>
        <w:rPr>
          <w:smallCaps/>
          <w:spacing w:val="-1"/>
          <w:sz w:val="16"/>
        </w:rPr>
        <w:t>2</w:t>
      </w:r>
      <w:r>
        <w:rPr>
          <w:smallCaps/>
          <w:sz w:val="16"/>
        </w:rPr>
        <w:t>1</w:t>
      </w:r>
    </w:p>
    <w:p w:rsidR="00D70BB9" w:rsidRDefault="00FD4394">
      <w:pPr>
        <w:spacing w:before="1"/>
        <w:ind w:left="480" w:right="1016"/>
        <w:rPr>
          <w:sz w:val="16"/>
        </w:rPr>
      </w:pPr>
      <w:r>
        <w:rPr>
          <w:sz w:val="16"/>
        </w:rPr>
        <w:t>R</w:t>
      </w:r>
      <w:r>
        <w:rPr>
          <w:spacing w:val="-1"/>
          <w:sz w:val="16"/>
        </w:rPr>
        <w:t>ece</w:t>
      </w:r>
      <w:r>
        <w:rPr>
          <w:sz w:val="16"/>
        </w:rPr>
        <w:t>i</w:t>
      </w:r>
      <w:r>
        <w:rPr>
          <w:spacing w:val="-1"/>
          <w:sz w:val="16"/>
        </w:rPr>
        <w:t>ve</w:t>
      </w:r>
      <w:r>
        <w:rPr>
          <w:spacing w:val="-2"/>
          <w:sz w:val="16"/>
        </w:rPr>
        <w:t>d</w:t>
      </w:r>
      <w:r>
        <w:rPr>
          <w:sz w:val="16"/>
        </w:rPr>
        <w:t>:</w:t>
      </w:r>
      <w:r>
        <w:rPr>
          <w:rFonts w:ascii="Times New Roman"/>
          <w:spacing w:val="-2"/>
          <w:sz w:val="16"/>
        </w:rPr>
        <w:t xml:space="preserve"> </w:t>
      </w:r>
      <w:r w:rsidR="001D5A1C">
        <w:rPr>
          <w:sz w:val="16"/>
        </w:rPr>
        <w:t>xxx</w:t>
      </w:r>
      <w:r>
        <w:rPr>
          <w:sz w:val="16"/>
        </w:rPr>
        <w:t>;</w:t>
      </w:r>
      <w:r>
        <w:rPr>
          <w:rFonts w:ascii="Times New Roman"/>
          <w:spacing w:val="-2"/>
          <w:sz w:val="16"/>
        </w:rPr>
        <w:t xml:space="preserve"> </w:t>
      </w:r>
      <w:r>
        <w:rPr>
          <w:sz w:val="16"/>
        </w:rPr>
        <w:t>R</w:t>
      </w:r>
      <w:r>
        <w:rPr>
          <w:spacing w:val="-1"/>
          <w:sz w:val="16"/>
        </w:rPr>
        <w:t>ece</w:t>
      </w:r>
      <w:r>
        <w:rPr>
          <w:sz w:val="16"/>
        </w:rPr>
        <w:t>i</w:t>
      </w:r>
      <w:r>
        <w:rPr>
          <w:spacing w:val="-1"/>
          <w:sz w:val="16"/>
        </w:rPr>
        <w:t>ve</w:t>
      </w:r>
      <w:r>
        <w:rPr>
          <w:sz w:val="16"/>
        </w:rPr>
        <w:t>d</w:t>
      </w:r>
      <w:r>
        <w:rPr>
          <w:rFonts w:ascii="Times New Roman"/>
          <w:spacing w:val="-3"/>
          <w:sz w:val="16"/>
        </w:rPr>
        <w:t xml:space="preserve"> </w:t>
      </w:r>
      <w:r>
        <w:rPr>
          <w:sz w:val="16"/>
        </w:rPr>
        <w:t>in</w:t>
      </w:r>
      <w:r>
        <w:rPr>
          <w:rFonts w:ascii="Times New Roman"/>
          <w:spacing w:val="-1"/>
          <w:sz w:val="16"/>
        </w:rPr>
        <w:t xml:space="preserve"> </w:t>
      </w:r>
      <w:r>
        <w:rPr>
          <w:spacing w:val="-2"/>
          <w:sz w:val="16"/>
        </w:rPr>
        <w:t>r</w:t>
      </w:r>
      <w:r>
        <w:rPr>
          <w:spacing w:val="-1"/>
          <w:sz w:val="16"/>
        </w:rPr>
        <w:t>ev</w:t>
      </w:r>
      <w:r>
        <w:rPr>
          <w:sz w:val="16"/>
        </w:rPr>
        <w:t>is</w:t>
      </w:r>
      <w:r>
        <w:rPr>
          <w:spacing w:val="-1"/>
          <w:sz w:val="16"/>
        </w:rPr>
        <w:t>e</w:t>
      </w:r>
      <w:r>
        <w:rPr>
          <w:sz w:val="16"/>
        </w:rPr>
        <w:t>d</w:t>
      </w:r>
      <w:r>
        <w:rPr>
          <w:rFonts w:ascii="Times New Roman"/>
          <w:spacing w:val="-3"/>
          <w:sz w:val="16"/>
        </w:rPr>
        <w:t xml:space="preserve"> </w:t>
      </w:r>
      <w:r>
        <w:rPr>
          <w:sz w:val="16"/>
        </w:rPr>
        <w:t>f</w:t>
      </w:r>
      <w:r>
        <w:rPr>
          <w:spacing w:val="-1"/>
          <w:sz w:val="16"/>
        </w:rPr>
        <w:t>o</w:t>
      </w:r>
      <w:r>
        <w:rPr>
          <w:spacing w:val="-2"/>
          <w:sz w:val="16"/>
        </w:rPr>
        <w:t>r</w:t>
      </w:r>
      <w:r>
        <w:rPr>
          <w:sz w:val="16"/>
        </w:rPr>
        <w:t>m:</w:t>
      </w:r>
      <w:r>
        <w:rPr>
          <w:rFonts w:ascii="Times New Roman"/>
          <w:spacing w:val="-2"/>
          <w:sz w:val="16"/>
        </w:rPr>
        <w:t xml:space="preserve"> </w:t>
      </w:r>
      <w:r w:rsidR="001D5A1C">
        <w:rPr>
          <w:sz w:val="16"/>
        </w:rPr>
        <w:t>xxx</w:t>
      </w:r>
      <w:r>
        <w:rPr>
          <w:sz w:val="16"/>
        </w:rPr>
        <w:t>,</w:t>
      </w:r>
      <w:r>
        <w:rPr>
          <w:rFonts w:ascii="Times New Roman"/>
          <w:spacing w:val="-2"/>
          <w:sz w:val="16"/>
        </w:rPr>
        <w:t xml:space="preserve"> </w:t>
      </w:r>
      <w:r>
        <w:rPr>
          <w:smallCaps/>
          <w:spacing w:val="-1"/>
          <w:sz w:val="16"/>
        </w:rPr>
        <w:t>2</w:t>
      </w:r>
      <w:r>
        <w:rPr>
          <w:spacing w:val="-1"/>
          <w:sz w:val="16"/>
        </w:rPr>
        <w:t>0</w:t>
      </w:r>
      <w:r>
        <w:rPr>
          <w:smallCaps/>
          <w:spacing w:val="-1"/>
          <w:sz w:val="16"/>
        </w:rPr>
        <w:t>2</w:t>
      </w:r>
      <w:r>
        <w:rPr>
          <w:smallCaps/>
          <w:sz w:val="16"/>
        </w:rPr>
        <w:t>1</w:t>
      </w:r>
      <w:r>
        <w:rPr>
          <w:sz w:val="16"/>
        </w:rPr>
        <w:t>;</w:t>
      </w:r>
      <w:r>
        <w:rPr>
          <w:rFonts w:ascii="Times New Roman"/>
          <w:spacing w:val="-4"/>
          <w:sz w:val="16"/>
        </w:rPr>
        <w:t xml:space="preserve"> </w:t>
      </w:r>
      <w:r>
        <w:rPr>
          <w:sz w:val="16"/>
        </w:rPr>
        <w:t>A</w:t>
      </w:r>
      <w:r>
        <w:rPr>
          <w:spacing w:val="-1"/>
          <w:sz w:val="16"/>
        </w:rPr>
        <w:t>ccepte</w:t>
      </w:r>
      <w:r>
        <w:rPr>
          <w:spacing w:val="-2"/>
          <w:sz w:val="16"/>
        </w:rPr>
        <w:t>d</w:t>
      </w:r>
      <w:r>
        <w:rPr>
          <w:sz w:val="16"/>
        </w:rPr>
        <w:t>:</w:t>
      </w:r>
      <w:r>
        <w:rPr>
          <w:rFonts w:ascii="Times New Roman"/>
          <w:spacing w:val="-2"/>
          <w:sz w:val="16"/>
        </w:rPr>
        <w:t xml:space="preserve"> </w:t>
      </w:r>
      <w:r w:rsidR="001D5A1C">
        <w:rPr>
          <w:sz w:val="16"/>
        </w:rPr>
        <w:t>xxx</w:t>
      </w:r>
      <w:r>
        <w:rPr>
          <w:sz w:val="16"/>
        </w:rPr>
        <w:t>,</w:t>
      </w:r>
      <w:r>
        <w:rPr>
          <w:rFonts w:ascii="Times New Roman"/>
          <w:spacing w:val="-2"/>
          <w:sz w:val="16"/>
        </w:rPr>
        <w:t xml:space="preserve"> </w:t>
      </w:r>
      <w:r>
        <w:rPr>
          <w:smallCaps/>
          <w:spacing w:val="-1"/>
          <w:sz w:val="16"/>
        </w:rPr>
        <w:t>2</w:t>
      </w:r>
      <w:r>
        <w:rPr>
          <w:spacing w:val="-1"/>
          <w:sz w:val="16"/>
        </w:rPr>
        <w:t>0</w:t>
      </w:r>
      <w:r>
        <w:rPr>
          <w:smallCaps/>
          <w:spacing w:val="-1"/>
          <w:sz w:val="16"/>
        </w:rPr>
        <w:t>2</w:t>
      </w:r>
      <w:r>
        <w:rPr>
          <w:smallCaps/>
          <w:sz w:val="16"/>
        </w:rPr>
        <w:t>1</w:t>
      </w:r>
      <w:r>
        <w:rPr>
          <w:sz w:val="16"/>
        </w:rPr>
        <w:t>;</w:t>
      </w:r>
      <w:r>
        <w:rPr>
          <w:rFonts w:ascii="Times New Roman"/>
          <w:spacing w:val="-2"/>
          <w:sz w:val="16"/>
        </w:rPr>
        <w:t xml:space="preserve"> </w:t>
      </w:r>
      <w:r>
        <w:rPr>
          <w:sz w:val="16"/>
        </w:rPr>
        <w:t>A</w:t>
      </w:r>
      <w:r>
        <w:rPr>
          <w:spacing w:val="-1"/>
          <w:sz w:val="16"/>
        </w:rPr>
        <w:t>v</w:t>
      </w:r>
      <w:r>
        <w:rPr>
          <w:sz w:val="16"/>
        </w:rPr>
        <w:t>ai</w:t>
      </w:r>
      <w:r>
        <w:rPr>
          <w:spacing w:val="-3"/>
          <w:sz w:val="16"/>
        </w:rPr>
        <w:t>l</w:t>
      </w:r>
      <w:r>
        <w:rPr>
          <w:sz w:val="16"/>
        </w:rPr>
        <w:t>a</w:t>
      </w:r>
      <w:r>
        <w:rPr>
          <w:spacing w:val="1"/>
          <w:sz w:val="16"/>
        </w:rPr>
        <w:t>b</w:t>
      </w:r>
      <w:r>
        <w:rPr>
          <w:spacing w:val="-1"/>
          <w:sz w:val="16"/>
        </w:rPr>
        <w:t>l</w:t>
      </w:r>
      <w:r>
        <w:rPr>
          <w:sz w:val="16"/>
        </w:rPr>
        <w:t>e</w:t>
      </w:r>
      <w:r>
        <w:rPr>
          <w:rFonts w:ascii="Times New Roman"/>
          <w:spacing w:val="-5"/>
          <w:sz w:val="16"/>
        </w:rPr>
        <w:t xml:space="preserve"> </w:t>
      </w:r>
      <w:r>
        <w:rPr>
          <w:spacing w:val="-1"/>
          <w:sz w:val="16"/>
        </w:rPr>
        <w:t>o</w:t>
      </w:r>
      <w:r>
        <w:rPr>
          <w:spacing w:val="1"/>
          <w:sz w:val="16"/>
        </w:rPr>
        <w:t>n</w:t>
      </w:r>
      <w:r>
        <w:rPr>
          <w:spacing w:val="-1"/>
          <w:sz w:val="16"/>
        </w:rPr>
        <w:t>l</w:t>
      </w:r>
      <w:r>
        <w:rPr>
          <w:spacing w:val="-2"/>
          <w:sz w:val="16"/>
        </w:rPr>
        <w:t>i</w:t>
      </w:r>
      <w:r>
        <w:rPr>
          <w:spacing w:val="1"/>
          <w:sz w:val="16"/>
        </w:rPr>
        <w:t>n</w:t>
      </w:r>
      <w:r>
        <w:rPr>
          <w:spacing w:val="-1"/>
          <w:sz w:val="16"/>
        </w:rPr>
        <w:t>e</w:t>
      </w:r>
      <w:r>
        <w:rPr>
          <w:sz w:val="16"/>
        </w:rPr>
        <w:t>:</w:t>
      </w:r>
      <w:r>
        <w:rPr>
          <w:rFonts w:ascii="Times New Roman"/>
          <w:spacing w:val="-2"/>
          <w:sz w:val="16"/>
        </w:rPr>
        <w:t xml:space="preserve"> </w:t>
      </w:r>
      <w:r w:rsidR="001D5A1C">
        <w:rPr>
          <w:sz w:val="16"/>
        </w:rPr>
        <w:t>xxx</w:t>
      </w:r>
      <w:r>
        <w:rPr>
          <w:sz w:val="16"/>
        </w:rPr>
        <w:t>,</w:t>
      </w:r>
      <w:r>
        <w:rPr>
          <w:rFonts w:ascii="Times New Roman"/>
          <w:spacing w:val="-2"/>
          <w:sz w:val="16"/>
        </w:rPr>
        <w:t xml:space="preserve"> </w:t>
      </w:r>
      <w:r>
        <w:rPr>
          <w:smallCaps/>
          <w:spacing w:val="-1"/>
          <w:sz w:val="16"/>
        </w:rPr>
        <w:t>2</w:t>
      </w:r>
      <w:r>
        <w:rPr>
          <w:spacing w:val="-1"/>
          <w:sz w:val="16"/>
        </w:rPr>
        <w:t>0</w:t>
      </w:r>
      <w:r>
        <w:rPr>
          <w:smallCaps/>
          <w:spacing w:val="-1"/>
          <w:sz w:val="16"/>
        </w:rPr>
        <w:t>2</w:t>
      </w:r>
      <w:r>
        <w:rPr>
          <w:smallCaps/>
          <w:sz w:val="16"/>
        </w:rPr>
        <w:t>1</w:t>
      </w:r>
      <w:r>
        <w:rPr>
          <w:rFonts w:ascii="Times New Roman"/>
          <w:sz w:val="16"/>
        </w:rPr>
        <w:t xml:space="preserve"> </w:t>
      </w:r>
      <w:proofErr w:type="gramStart"/>
      <w:r>
        <w:rPr>
          <w:spacing w:val="-2"/>
          <w:sz w:val="16"/>
        </w:rPr>
        <w:t>T</w:t>
      </w:r>
      <w:r>
        <w:rPr>
          <w:sz w:val="16"/>
        </w:rPr>
        <w:t>his</w:t>
      </w:r>
      <w:proofErr w:type="gramEnd"/>
      <w:r>
        <w:rPr>
          <w:rFonts w:ascii="Times New Roman"/>
          <w:spacing w:val="-2"/>
          <w:sz w:val="16"/>
        </w:rPr>
        <w:t xml:space="preserve"> </w:t>
      </w:r>
      <w:r>
        <w:rPr>
          <w:sz w:val="16"/>
        </w:rPr>
        <w:t>is</w:t>
      </w:r>
      <w:r>
        <w:rPr>
          <w:rFonts w:ascii="Times New Roman"/>
          <w:spacing w:val="-4"/>
          <w:sz w:val="16"/>
        </w:rPr>
        <w:t xml:space="preserve"> </w:t>
      </w:r>
      <w:r>
        <w:rPr>
          <w:sz w:val="16"/>
        </w:rPr>
        <w:t>an</w:t>
      </w:r>
      <w:r>
        <w:rPr>
          <w:rFonts w:ascii="Times New Roman"/>
          <w:spacing w:val="-1"/>
          <w:sz w:val="16"/>
        </w:rPr>
        <w:t xml:space="preserve"> </w:t>
      </w:r>
      <w:r>
        <w:rPr>
          <w:spacing w:val="-1"/>
          <w:sz w:val="16"/>
        </w:rPr>
        <w:t>ope</w:t>
      </w:r>
      <w:r>
        <w:rPr>
          <w:sz w:val="16"/>
        </w:rPr>
        <w:t>n</w:t>
      </w:r>
      <w:r>
        <w:rPr>
          <w:rFonts w:ascii="Times New Roman"/>
          <w:spacing w:val="-3"/>
          <w:sz w:val="16"/>
        </w:rPr>
        <w:t xml:space="preserve"> </w:t>
      </w:r>
      <w:r>
        <w:rPr>
          <w:sz w:val="16"/>
        </w:rPr>
        <w:t>a</w:t>
      </w:r>
      <w:r>
        <w:rPr>
          <w:spacing w:val="-1"/>
          <w:sz w:val="16"/>
        </w:rPr>
        <w:t>cce</w:t>
      </w:r>
      <w:r>
        <w:rPr>
          <w:sz w:val="16"/>
        </w:rPr>
        <w:t>ss</w:t>
      </w:r>
      <w:r>
        <w:rPr>
          <w:rFonts w:ascii="Times New Roman"/>
          <w:spacing w:val="-2"/>
          <w:sz w:val="16"/>
        </w:rPr>
        <w:t xml:space="preserve"> </w:t>
      </w:r>
      <w:r>
        <w:rPr>
          <w:sz w:val="16"/>
        </w:rPr>
        <w:t>a</w:t>
      </w:r>
      <w:r>
        <w:rPr>
          <w:spacing w:val="-2"/>
          <w:sz w:val="16"/>
        </w:rPr>
        <w:t>r</w:t>
      </w:r>
      <w:r>
        <w:rPr>
          <w:spacing w:val="-1"/>
          <w:sz w:val="16"/>
        </w:rPr>
        <w:t>t</w:t>
      </w:r>
      <w:r>
        <w:rPr>
          <w:sz w:val="16"/>
        </w:rPr>
        <w:t>i</w:t>
      </w:r>
      <w:r>
        <w:rPr>
          <w:spacing w:val="-1"/>
          <w:sz w:val="16"/>
        </w:rPr>
        <w:t>cl</w:t>
      </w:r>
      <w:r>
        <w:rPr>
          <w:sz w:val="16"/>
        </w:rPr>
        <w:t>e</w:t>
      </w:r>
      <w:r>
        <w:rPr>
          <w:rFonts w:ascii="Times New Roman"/>
          <w:spacing w:val="-3"/>
          <w:sz w:val="16"/>
        </w:rPr>
        <w:t xml:space="preserve"> </w:t>
      </w:r>
      <w:r>
        <w:rPr>
          <w:spacing w:val="1"/>
          <w:sz w:val="16"/>
        </w:rPr>
        <w:t>un</w:t>
      </w:r>
      <w:r>
        <w:rPr>
          <w:spacing w:val="-2"/>
          <w:sz w:val="16"/>
        </w:rPr>
        <w:t>d</w:t>
      </w:r>
      <w:r>
        <w:rPr>
          <w:spacing w:val="-4"/>
          <w:sz w:val="16"/>
        </w:rPr>
        <w:t>e</w:t>
      </w:r>
      <w:r>
        <w:rPr>
          <w:sz w:val="16"/>
        </w:rPr>
        <w:t>r</w:t>
      </w:r>
      <w:r>
        <w:rPr>
          <w:rFonts w:ascii="Times New Roman"/>
          <w:spacing w:val="-3"/>
          <w:sz w:val="16"/>
        </w:rPr>
        <w:t xml:space="preserve"> </w:t>
      </w:r>
      <w:r>
        <w:rPr>
          <w:sz w:val="16"/>
        </w:rPr>
        <w:t>a</w:t>
      </w:r>
      <w:r>
        <w:rPr>
          <w:rFonts w:ascii="Times New Roman"/>
          <w:spacing w:val="-1"/>
          <w:sz w:val="16"/>
        </w:rPr>
        <w:t xml:space="preserve"> </w:t>
      </w:r>
      <w:r>
        <w:rPr>
          <w:color w:val="0000FF"/>
          <w:sz w:val="16"/>
        </w:rPr>
        <w:t>C</w:t>
      </w:r>
      <w:r>
        <w:rPr>
          <w:color w:val="0000FF"/>
          <w:spacing w:val="-2"/>
          <w:sz w:val="16"/>
        </w:rPr>
        <w:t>r</w:t>
      </w:r>
      <w:r>
        <w:rPr>
          <w:color w:val="0000FF"/>
          <w:spacing w:val="-1"/>
          <w:sz w:val="16"/>
        </w:rPr>
        <w:t>e</w:t>
      </w:r>
      <w:r>
        <w:rPr>
          <w:color w:val="0000FF"/>
          <w:sz w:val="16"/>
        </w:rPr>
        <w:t>a</w:t>
      </w:r>
      <w:r>
        <w:rPr>
          <w:color w:val="0000FF"/>
          <w:spacing w:val="-1"/>
          <w:sz w:val="16"/>
        </w:rPr>
        <w:t>t</w:t>
      </w:r>
      <w:r>
        <w:rPr>
          <w:color w:val="0000FF"/>
          <w:sz w:val="16"/>
        </w:rPr>
        <w:t>i</w:t>
      </w:r>
      <w:r>
        <w:rPr>
          <w:color w:val="0000FF"/>
          <w:spacing w:val="-1"/>
          <w:sz w:val="16"/>
        </w:rPr>
        <w:t>v</w:t>
      </w:r>
      <w:r>
        <w:rPr>
          <w:color w:val="0000FF"/>
          <w:sz w:val="16"/>
        </w:rPr>
        <w:t>e</w:t>
      </w:r>
      <w:r>
        <w:rPr>
          <w:rFonts w:ascii="Times New Roman"/>
          <w:color w:val="0000FF"/>
          <w:spacing w:val="-3"/>
          <w:sz w:val="16"/>
        </w:rPr>
        <w:t xml:space="preserve"> </w:t>
      </w:r>
      <w:r>
        <w:rPr>
          <w:color w:val="0000FF"/>
          <w:sz w:val="16"/>
        </w:rPr>
        <w:t>C</w:t>
      </w:r>
      <w:r>
        <w:rPr>
          <w:color w:val="0000FF"/>
          <w:spacing w:val="-1"/>
          <w:sz w:val="16"/>
        </w:rPr>
        <w:t>o</w:t>
      </w:r>
      <w:r>
        <w:rPr>
          <w:color w:val="0000FF"/>
          <w:sz w:val="16"/>
        </w:rPr>
        <w:t>mm</w:t>
      </w:r>
      <w:r>
        <w:rPr>
          <w:color w:val="0000FF"/>
          <w:spacing w:val="-1"/>
          <w:sz w:val="16"/>
        </w:rPr>
        <w:t>o</w:t>
      </w:r>
      <w:r>
        <w:rPr>
          <w:color w:val="0000FF"/>
          <w:spacing w:val="-2"/>
          <w:sz w:val="16"/>
        </w:rPr>
        <w:t>n</w:t>
      </w:r>
      <w:r>
        <w:rPr>
          <w:color w:val="0000FF"/>
          <w:sz w:val="16"/>
        </w:rPr>
        <w:t>s</w:t>
      </w:r>
      <w:r>
        <w:rPr>
          <w:rFonts w:ascii="Times New Roman"/>
          <w:color w:val="0000FF"/>
          <w:spacing w:val="-2"/>
          <w:sz w:val="16"/>
        </w:rPr>
        <w:t xml:space="preserve"> </w:t>
      </w:r>
      <w:r>
        <w:rPr>
          <w:color w:val="0000FF"/>
          <w:sz w:val="16"/>
        </w:rPr>
        <w:t>A</w:t>
      </w:r>
      <w:r>
        <w:rPr>
          <w:color w:val="0000FF"/>
          <w:spacing w:val="-1"/>
          <w:sz w:val="16"/>
        </w:rPr>
        <w:t>tt</w:t>
      </w:r>
      <w:r>
        <w:rPr>
          <w:color w:val="0000FF"/>
          <w:spacing w:val="-2"/>
          <w:sz w:val="16"/>
        </w:rPr>
        <w:t>ri</w:t>
      </w:r>
      <w:r>
        <w:rPr>
          <w:color w:val="0000FF"/>
          <w:spacing w:val="1"/>
          <w:sz w:val="16"/>
        </w:rPr>
        <w:t>bu</w:t>
      </w:r>
      <w:r>
        <w:rPr>
          <w:color w:val="0000FF"/>
          <w:spacing w:val="-3"/>
          <w:sz w:val="16"/>
        </w:rPr>
        <w:t>t</w:t>
      </w:r>
      <w:r>
        <w:rPr>
          <w:color w:val="0000FF"/>
          <w:sz w:val="16"/>
        </w:rPr>
        <w:t>i</w:t>
      </w:r>
      <w:r>
        <w:rPr>
          <w:color w:val="0000FF"/>
          <w:spacing w:val="-1"/>
          <w:sz w:val="16"/>
        </w:rPr>
        <w:t>o</w:t>
      </w:r>
      <w:r>
        <w:rPr>
          <w:color w:val="0000FF"/>
          <w:spacing w:val="-2"/>
          <w:sz w:val="16"/>
        </w:rPr>
        <w:t>n</w:t>
      </w:r>
      <w:r>
        <w:rPr>
          <w:color w:val="0000FF"/>
          <w:spacing w:val="-1"/>
          <w:sz w:val="16"/>
        </w:rPr>
        <w:t>-No</w:t>
      </w:r>
      <w:r>
        <w:rPr>
          <w:color w:val="0000FF"/>
          <w:spacing w:val="1"/>
          <w:sz w:val="16"/>
        </w:rPr>
        <w:t>n</w:t>
      </w:r>
      <w:r>
        <w:rPr>
          <w:color w:val="0000FF"/>
          <w:sz w:val="16"/>
        </w:rPr>
        <w:t>C</w:t>
      </w:r>
      <w:r>
        <w:rPr>
          <w:color w:val="0000FF"/>
          <w:spacing w:val="-1"/>
          <w:sz w:val="16"/>
        </w:rPr>
        <w:t>o</w:t>
      </w:r>
      <w:r>
        <w:rPr>
          <w:color w:val="0000FF"/>
          <w:sz w:val="16"/>
        </w:rPr>
        <w:t>mm</w:t>
      </w:r>
      <w:r>
        <w:rPr>
          <w:color w:val="0000FF"/>
          <w:spacing w:val="-1"/>
          <w:sz w:val="16"/>
        </w:rPr>
        <w:t>e</w:t>
      </w:r>
      <w:r>
        <w:rPr>
          <w:color w:val="0000FF"/>
          <w:spacing w:val="-2"/>
          <w:sz w:val="16"/>
        </w:rPr>
        <w:t>r</w:t>
      </w:r>
      <w:r>
        <w:rPr>
          <w:color w:val="0000FF"/>
          <w:spacing w:val="-1"/>
          <w:sz w:val="16"/>
        </w:rPr>
        <w:t>c</w:t>
      </w:r>
      <w:r>
        <w:rPr>
          <w:color w:val="0000FF"/>
          <w:sz w:val="16"/>
        </w:rPr>
        <w:t>ia</w:t>
      </w:r>
      <w:r>
        <w:rPr>
          <w:color w:val="0000FF"/>
          <w:spacing w:val="-1"/>
          <w:sz w:val="16"/>
        </w:rPr>
        <w:t>l</w:t>
      </w:r>
      <w:r>
        <w:rPr>
          <w:color w:val="0000FF"/>
          <w:spacing w:val="-3"/>
          <w:sz w:val="16"/>
        </w:rPr>
        <w:t>-</w:t>
      </w:r>
      <w:r>
        <w:rPr>
          <w:color w:val="0000FF"/>
          <w:spacing w:val="1"/>
          <w:sz w:val="16"/>
        </w:rPr>
        <w:t>S</w:t>
      </w:r>
      <w:r>
        <w:rPr>
          <w:color w:val="0000FF"/>
          <w:spacing w:val="-3"/>
          <w:sz w:val="16"/>
        </w:rPr>
        <w:t>h</w:t>
      </w:r>
      <w:r>
        <w:rPr>
          <w:color w:val="0000FF"/>
          <w:sz w:val="16"/>
        </w:rPr>
        <w:t>a</w:t>
      </w:r>
      <w:r>
        <w:rPr>
          <w:color w:val="0000FF"/>
          <w:spacing w:val="-2"/>
          <w:sz w:val="16"/>
        </w:rPr>
        <w:t>r</w:t>
      </w:r>
      <w:r>
        <w:rPr>
          <w:color w:val="0000FF"/>
          <w:spacing w:val="-1"/>
          <w:sz w:val="16"/>
        </w:rPr>
        <w:t>e</w:t>
      </w:r>
      <w:r>
        <w:rPr>
          <w:color w:val="0000FF"/>
          <w:sz w:val="16"/>
        </w:rPr>
        <w:t>A</w:t>
      </w:r>
      <w:r>
        <w:rPr>
          <w:color w:val="0000FF"/>
          <w:spacing w:val="-1"/>
          <w:sz w:val="16"/>
        </w:rPr>
        <w:t>l</w:t>
      </w:r>
      <w:r>
        <w:rPr>
          <w:color w:val="0000FF"/>
          <w:sz w:val="16"/>
        </w:rPr>
        <w:t>ike</w:t>
      </w:r>
      <w:r>
        <w:rPr>
          <w:rFonts w:ascii="Times New Roman"/>
          <w:color w:val="0000FF"/>
          <w:spacing w:val="-3"/>
          <w:sz w:val="16"/>
        </w:rPr>
        <w:t xml:space="preserve"> </w:t>
      </w:r>
      <w:r>
        <w:rPr>
          <w:color w:val="0000FF"/>
          <w:sz w:val="16"/>
        </w:rPr>
        <w:t>4</w:t>
      </w:r>
      <w:r>
        <w:rPr>
          <w:color w:val="0000FF"/>
          <w:spacing w:val="-1"/>
          <w:sz w:val="16"/>
        </w:rPr>
        <w:t>.</w:t>
      </w:r>
      <w:r>
        <w:rPr>
          <w:color w:val="0000FF"/>
          <w:sz w:val="16"/>
        </w:rPr>
        <w:t>0</w:t>
      </w:r>
      <w:r>
        <w:rPr>
          <w:rFonts w:ascii="Times New Roman"/>
          <w:color w:val="0000FF"/>
          <w:spacing w:val="-2"/>
          <w:sz w:val="16"/>
        </w:rPr>
        <w:t xml:space="preserve"> </w:t>
      </w:r>
      <w:r>
        <w:rPr>
          <w:color w:val="0000FF"/>
          <w:spacing w:val="-3"/>
          <w:sz w:val="16"/>
        </w:rPr>
        <w:t>I</w:t>
      </w:r>
      <w:r>
        <w:rPr>
          <w:color w:val="0000FF"/>
          <w:spacing w:val="1"/>
          <w:sz w:val="16"/>
        </w:rPr>
        <w:t>n</w:t>
      </w:r>
      <w:r>
        <w:rPr>
          <w:color w:val="0000FF"/>
          <w:spacing w:val="-1"/>
          <w:sz w:val="16"/>
        </w:rPr>
        <w:t>te</w:t>
      </w:r>
      <w:r>
        <w:rPr>
          <w:color w:val="0000FF"/>
          <w:spacing w:val="-2"/>
          <w:sz w:val="16"/>
        </w:rPr>
        <w:t>r</w:t>
      </w:r>
      <w:r>
        <w:rPr>
          <w:color w:val="0000FF"/>
          <w:spacing w:val="1"/>
          <w:sz w:val="16"/>
        </w:rPr>
        <w:t>n</w:t>
      </w:r>
      <w:r>
        <w:rPr>
          <w:color w:val="0000FF"/>
          <w:sz w:val="16"/>
        </w:rPr>
        <w:t>a</w:t>
      </w:r>
      <w:r>
        <w:rPr>
          <w:color w:val="0000FF"/>
          <w:spacing w:val="-3"/>
          <w:sz w:val="16"/>
        </w:rPr>
        <w:t>t</w:t>
      </w:r>
      <w:r>
        <w:rPr>
          <w:color w:val="0000FF"/>
          <w:sz w:val="16"/>
        </w:rPr>
        <w:t>i</w:t>
      </w:r>
      <w:r>
        <w:rPr>
          <w:color w:val="0000FF"/>
          <w:spacing w:val="-1"/>
          <w:sz w:val="16"/>
        </w:rPr>
        <w:t>o</w:t>
      </w:r>
      <w:r>
        <w:rPr>
          <w:color w:val="0000FF"/>
          <w:spacing w:val="-2"/>
          <w:sz w:val="16"/>
        </w:rPr>
        <w:t>n</w:t>
      </w:r>
      <w:r>
        <w:rPr>
          <w:color w:val="0000FF"/>
          <w:sz w:val="16"/>
        </w:rPr>
        <w:t>al</w:t>
      </w:r>
      <w:r>
        <w:rPr>
          <w:rFonts w:ascii="Times New Roman"/>
          <w:color w:val="0000FF"/>
          <w:spacing w:val="-2"/>
          <w:sz w:val="16"/>
        </w:rPr>
        <w:t xml:space="preserve"> </w:t>
      </w:r>
      <w:r>
        <w:rPr>
          <w:color w:val="0000FF"/>
          <w:spacing w:val="-1"/>
          <w:sz w:val="16"/>
        </w:rPr>
        <w:t>L</w:t>
      </w:r>
      <w:r>
        <w:rPr>
          <w:color w:val="0000FF"/>
          <w:sz w:val="16"/>
        </w:rPr>
        <w:t>i</w:t>
      </w:r>
      <w:r>
        <w:rPr>
          <w:color w:val="0000FF"/>
          <w:spacing w:val="-1"/>
          <w:sz w:val="16"/>
        </w:rPr>
        <w:t>ce</w:t>
      </w:r>
      <w:r>
        <w:rPr>
          <w:color w:val="0000FF"/>
          <w:spacing w:val="1"/>
          <w:sz w:val="16"/>
        </w:rPr>
        <w:t>n</w:t>
      </w:r>
      <w:r>
        <w:rPr>
          <w:color w:val="0000FF"/>
          <w:sz w:val="16"/>
        </w:rPr>
        <w:t>se</w:t>
      </w:r>
    </w:p>
    <w:p w:rsidR="00D70BB9" w:rsidRDefault="004572B7">
      <w:pPr>
        <w:pStyle w:val="BodyText"/>
        <w:spacing w:line="20" w:lineRule="exact"/>
        <w:ind w:left="3125"/>
        <w:rPr>
          <w:sz w:val="2"/>
        </w:rPr>
      </w:pPr>
      <w:r>
        <w:rPr>
          <w:sz w:val="2"/>
        </w:rPr>
      </w:r>
      <w:r>
        <w:rPr>
          <w:sz w:val="2"/>
        </w:rPr>
        <w:pict>
          <v:group id="_x0000_s1131" style="width:302.65pt;height:.4pt;mso-position-horizontal-relative:char;mso-position-vertical-relative:line" coordsize="6053,8">
            <v:rect id="_x0000_s1132" style="position:absolute;width:6053;height:8" fillcolor="blue" stroked="f"/>
            <w10:wrap type="none"/>
            <w10:anchorlock/>
          </v:group>
        </w:pict>
      </w:r>
    </w:p>
    <w:p w:rsidR="00D70BB9" w:rsidRDefault="00D70BB9">
      <w:pPr>
        <w:spacing w:line="20" w:lineRule="exact"/>
        <w:rPr>
          <w:sz w:val="2"/>
        </w:rPr>
        <w:sectPr w:rsidR="00D70BB9">
          <w:type w:val="continuous"/>
          <w:pgSz w:w="11910" w:h="16840"/>
          <w:pgMar w:top="960" w:right="380" w:bottom="280" w:left="940" w:header="720" w:footer="720" w:gutter="0"/>
          <w:cols w:space="720"/>
        </w:sectPr>
      </w:pPr>
    </w:p>
    <w:p w:rsidR="001D5A1C" w:rsidRDefault="001D5A1C">
      <w:pPr>
        <w:ind w:left="941"/>
        <w:rPr>
          <w:b/>
          <w:i/>
          <w:sz w:val="16"/>
        </w:rPr>
      </w:pPr>
    </w:p>
    <w:p w:rsidR="00D27CA3" w:rsidRPr="00D27CA3" w:rsidRDefault="00FD4394" w:rsidP="00D27CA3">
      <w:pPr>
        <w:pStyle w:val="Heading1"/>
        <w:spacing w:before="0"/>
      </w:pPr>
      <w:r w:rsidRPr="00D27CA3">
        <w:t>INTRODUCTION</w:t>
      </w:r>
    </w:p>
    <w:p w:rsidR="00D27CA3" w:rsidRDefault="00D27CA3" w:rsidP="00D27CA3">
      <w:pPr>
        <w:pStyle w:val="Heading1"/>
        <w:spacing w:before="0"/>
        <w:jc w:val="both"/>
        <w:rPr>
          <w:rFonts w:eastAsia="Cambria"/>
          <w:b w:val="0"/>
          <w:iCs/>
        </w:rPr>
      </w:pPr>
      <w:r w:rsidRPr="00D27CA3">
        <w:rPr>
          <w:rFonts w:eastAsia="Cambria"/>
          <w:b w:val="0"/>
          <w:iCs/>
        </w:rPr>
        <w:t xml:space="preserve">The Covid-19 has transformed communication technology to encourage changes in various aspects of learning. Kar et al </w:t>
      </w:r>
      <w:r w:rsidRPr="00D27CA3">
        <w:rPr>
          <w:b w:val="0"/>
        </w:rPr>
        <w:fldChar w:fldCharType="begin"/>
      </w:r>
      <w:r w:rsidRPr="00D27CA3">
        <w:rPr>
          <w:b w:val="0"/>
        </w:rPr>
        <w:instrText>ADDIN CSL_CITATION {"citationItems":[{"id":"ITEM-1","itemData":{"DOI":"10.1177/0253717620952052","ISSN":"0253-7176","author":[{"dropping-particle":"","family":"Kar","given":"Sujita Kumar","non-dropping-particle":"","parse-names":false,"suffix":""},{"dropping-particle":"","family":"Dwivedi","given":"Suyash","non-dropping-particle":"","parse-names":false,"suffix":""},{"dropping-particle":"","family":"Maurya","given":"Anand Kumar","non-dropping-particle":"","parse-names":false,"suffix":""},{"dropping-particle":"","family":"Singh","given":"Malvika","non-dropping-particle":"","parse-names":false,"suffix":""},{"dropping-particle":"","family":"Kumar","given":"Rajnish","non-dropping-particle":"","parse-names":false,"suffix":""},{"dropping-particle":"","family":"Kumar","given":"Prabhat","non-dropping-particle":"","parse-names":false,"suffix":""},{"dropping-particle":"","family":"Chaubey","given":"Anupriya","non-dropping-particle":"","parse-names":false,"suffix":""},{"dropping-particle":"","family":"Singh","given":"Nitika","non-dropping-particle":"","parse-names":false,"suffix":""},{"dropping-particle":"","family":"Singh","given":"Garima","non-dropping-particle":"","parse-names":false,"suffix":""},{"dropping-particle":"","family":"M","given":"Naveen","non-dropping-particle":"","parse-names":false,"suffix":""},{"dropping-particle":"","family":"Kumar","given":"Rahul","non-dropping-particle":"","parse-names":false,"suffix":""},{"dropping-particle":"","family":"Gupta","given":"Nikhil","non-dropping-particle":"","parse-names":false,"suffix":""},{"dropping-particle":"","family":"Mallick","given":"Ankita","non-dropping-particle":"","parse-names":false,"suffix":""}],"container-title":"Indian Journal of Psychological Medicine","id":"ITEM-1","issue":"5","issued":{"date-parts":[["2020","8","31"]]},"note":"doi: 10.1177/0253717620952052","page":"489-491","publisher":"SAGE Publications India","title":"Enhancing Preparedness Among Frontline Doctors During COVID-19 Pandemic: Learning from Experience","type":"article-journal","volume":"42"},"suppress-author":1,"uris":["http://www.mendeley.com/documents/?uuid=721188f4-05d9-4b47-8059-a9f879e6a50c"]}],"mendeley":{"formattedCitation":"(2020)","plainTextFormattedCitation":"(2020)","previouslyFormattedCitation":"(2020)"},"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1" w:name="__Fieldmark__0_1427214957"/>
      <w:r w:rsidRPr="00D27CA3">
        <w:rPr>
          <w:rFonts w:eastAsia="Cambria"/>
          <w:b w:val="0"/>
          <w:iCs/>
        </w:rPr>
        <w:t>2020)</w:t>
      </w:r>
      <w:r w:rsidRPr="00D27CA3">
        <w:rPr>
          <w:rFonts w:eastAsia="Cambria"/>
          <w:b w:val="0"/>
          <w:iCs/>
        </w:rPr>
        <w:fldChar w:fldCharType="end"/>
      </w:r>
      <w:bookmarkEnd w:id="1"/>
      <w:r w:rsidRPr="00D27CA3">
        <w:rPr>
          <w:rFonts w:eastAsia="Cambria"/>
          <w:b w:val="0"/>
          <w:iCs/>
        </w:rPr>
        <w:t xml:space="preserve"> explain that the Covid-19 Pandemic has affected human life globally. In addition, the pandemic has also changed the way of delivery around the world</w:t>
      </w:r>
      <w:r w:rsidRPr="00D27CA3">
        <w:rPr>
          <w:b w:val="0"/>
        </w:rPr>
        <w:fldChar w:fldCharType="begin"/>
      </w:r>
      <w:r w:rsidRPr="00D27CA3">
        <w:rPr>
          <w:b w:val="0"/>
        </w:rPr>
        <w:instrText>ADDIN CSL_CITATION {"citationItems":[{"id":"ITEM-1","itemData":{"DOI":"10.1177/0846537120944821","ISSN":"0846-5371","abstract":"The Coronavirus disease 2019 (COVID-19) pandemic has altered how medical education is delivered, worldwide. Didactic sessions have transitioned to electronic/online platforms and clinical teaching opportunities are limited. These changes will affect how radiology is taught to medical students at both the pre-clerkship (ie, year 1 and 2) and clinical (ie, year 3 and 4) levels. In the pre-clerkship learning environment, medical students are typically exposed to radiology through didactic lectures, integrated anatomy laboratories, case-based learning, and ultrasound clinical skills sessions. In the clinical learning environment, medical students primarily shadow radiologists and radiology residents and attend radiology resident teaching sessions. These formats of radiology education, which have been the tenets of the specialty, pose significant challenges during the pandemic. This article reviews how undergraduate radiology education is affected by COVID-19 and explores solutions for teaching and learning based on e-learning and blended learning theory.","author":[{"dropping-particle":"","family":"Darras","given":"Kathryn E","non-dropping-particle":"","parse-names":false,"suffix":""},{"dropping-particle":"","family":"Spouge","given":"Rebecca J","non-dropping-particle":"","parse-names":false,"suffix":""},{"dropping-particle":"","family":"Bruin","given":"Anique B H","non-dropping-particle":"de","parse-names":false,"suffix":""},{"dropping-particle":"","family":"Sedlic","given":"Anto","non-dropping-particle":"","parse-names":false,"suffix":""},{"dropping-particle":"","family":"Hague","given":"Cameron","non-dropping-particle":"","parse-names":false,"suffix":""},{"dropping-particle":"","family":"Forster","given":"Bruce B","non-dropping-particle":"","parse-names":false,"suffix":""}],"container-title":"Canadian Association of Radiologists Journal","id":"ITEM-1","issued":{"date-parts":[["2020","8","4"]]},"note":"doi: 10.1177/0846537120944821","page":"0846537120944821","publisher":"SAGE Publications Inc","title":"Undergraduate Radiology Education During the COVID-19 Pandemic: A Review of Teaching and Learning Strategies","type":"article-journal"},"uris":["http://www.mendeley.com/documents/?uuid=b074caaa-7bce-4d85-b8bf-5f0d0b381453"]}],"mendeley":{"formattedCitation":"(Darras et al., 2020)","plainTextFormattedCitation":"(Darras et al., 2020)","previouslyFormattedCitation":"(Darras et al., 2020)"},"properties":{"noteIndex":0},"schema":"https://github.com/citation-style-language/schema/raw/master/csl-citation.json"}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2" w:name="__Fieldmark__1_1427214957"/>
      <w:r w:rsidRPr="00D27CA3">
        <w:rPr>
          <w:rFonts w:eastAsia="Cambria"/>
          <w:b w:val="0"/>
          <w:iCs/>
        </w:rPr>
        <w:t>Darras et al., 2020)</w:t>
      </w:r>
      <w:r w:rsidRPr="00D27CA3">
        <w:rPr>
          <w:rFonts w:eastAsia="Cambria"/>
          <w:b w:val="0"/>
          <w:iCs/>
        </w:rPr>
        <w:fldChar w:fldCharType="end"/>
      </w:r>
      <w:bookmarkEnd w:id="2"/>
      <w:r w:rsidRPr="00D27CA3">
        <w:rPr>
          <w:rFonts w:eastAsia="Cambria"/>
          <w:b w:val="0"/>
          <w:iCs/>
        </w:rPr>
        <w:t>. In this regard, practical learning requires any innovation within the process, especially in learning the concept of rule of law.</w:t>
      </w:r>
    </w:p>
    <w:p w:rsidR="00D27CA3" w:rsidRDefault="00D27CA3" w:rsidP="00D27CA3">
      <w:pPr>
        <w:pStyle w:val="Heading1"/>
        <w:spacing w:before="0"/>
        <w:jc w:val="both"/>
        <w:rPr>
          <w:rFonts w:eastAsia="Cambria"/>
          <w:b w:val="0"/>
          <w:iCs/>
        </w:rPr>
      </w:pPr>
      <w:r w:rsidRPr="00D27CA3">
        <w:rPr>
          <w:b w:val="0"/>
          <w:lang w:val="en-ID"/>
        </w:rPr>
        <w:t xml:space="preserve">In terms of the practice of a democratic country like Indonesia, </w:t>
      </w:r>
      <w:r w:rsidRPr="00D27CA3">
        <w:rPr>
          <w:rFonts w:eastAsia="Cambria"/>
          <w:b w:val="0"/>
          <w:iCs/>
        </w:rPr>
        <w:t>the concept of rule of law is one of the pillars in Character Education for legal awareness in Indonesia. The concept of rule of Law Education can be an institution for students’ involvement</w:t>
      </w:r>
      <w:r w:rsidRPr="00D27CA3">
        <w:rPr>
          <w:b w:val="0"/>
        </w:rPr>
        <w:fldChar w:fldCharType="begin"/>
      </w:r>
      <w:r w:rsidRPr="00D27CA3">
        <w:rPr>
          <w:b w:val="0"/>
        </w:rPr>
        <w:instrText>ADDIN CSL_CITATION {"citationItems":[{"id":"ITEM-1","itemData":{"author":[{"dropping-particle":"","family":"Hidayah","given":"Yayuk","non-dropping-particle":"","parse-names":false,"suffix":""}],"id":"ITEM-1","issued":{"date-parts":[["2020"]]},"publisher":"Universitas Pendidikan Indonesia.","publisher-place":"Bandung","title":"Thesis: PENGEMBANGAN MODEL BELAJAR KETERLIBATAN (MBK) UNTUK MEMPERKUAT PARTISIPASI POLITIK DAN CIVIC ENGAGEMENT WARGA NEGARA MUDA DI ERA DIGITAL","type":"book"},"uris":["http://www.mendeley.com/documents/?uuid=8acd5df8-2b9b-4651-a601-6a6388fc6987"]}],"mendeley":{"formattedCitation":"(Hidayah, 2020)","plainTextFormattedCitation":"(Hidayah, 2020)","previouslyFormattedCitation":"(Hidayah, 2020)"},"properties":{"noteIndex":0},"schema":"https://github.com/citation-style-language/schema/raw/master/csl-citation.json"}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3" w:name="__Fieldmark__2_1427214957"/>
      <w:r w:rsidRPr="00D27CA3">
        <w:rPr>
          <w:rFonts w:eastAsia="Cambria"/>
          <w:b w:val="0"/>
          <w:iCs/>
        </w:rPr>
        <w:t>Hidayah, 2020)</w:t>
      </w:r>
      <w:r w:rsidRPr="00D27CA3">
        <w:rPr>
          <w:rFonts w:eastAsia="Cambria"/>
          <w:b w:val="0"/>
          <w:iCs/>
        </w:rPr>
        <w:fldChar w:fldCharType="end"/>
      </w:r>
      <w:bookmarkEnd w:id="3"/>
      <w:r w:rsidRPr="00D27CA3">
        <w:rPr>
          <w:rFonts w:eastAsia="Cambria"/>
          <w:b w:val="0"/>
          <w:iCs/>
        </w:rPr>
        <w:t>. The rule of Law Education concept can show that the law must be interpreted</w:t>
      </w:r>
      <w:r w:rsidRPr="00D27CA3">
        <w:rPr>
          <w:b w:val="0"/>
        </w:rPr>
        <w:fldChar w:fldCharType="begin"/>
      </w:r>
      <w:r w:rsidRPr="00D27CA3">
        <w:rPr>
          <w:b w:val="0"/>
        </w:rPr>
        <w:instrText>ADDIN CSL_CITATION {"citationItems":[{"id":"ITEM-1","itemData":{"DOI":"10.1177/0022018315603591","ISSN":"0022-0183","abstract":"The Crime and Courts Act 2013 has amended s. 76 of the Criminal Justice and Immigration Act 2008 on the amount of force a person can use in self-defence. The amended provision poses a dilemma for the courts: it states that only reasonable force can be used by a householder against a trespasser, but adds that force is unreasonable if it is grossly disproportionate. Until now, the courts have treated reasonable force and proportionate force as synonyms. This article suggests that the amended s. 76 should be interpreted to comply with the rule of law, incorporating the idea of equality before the law and legality. The courts should respect the traditional common law concept of reasonableness which is an impartial, objective concept that plays an important role across the whole of the criminal legal system. In addition, the article points out that the Act must be interpreted, where possible, in accordance with the European Convention on Human Rights to avoid the problems that arose with the defence of lawful chastisement.","author":[{"dropping-particle":"","family":"Elliott","given":"Catherine","non-dropping-particle":"","parse-names":false,"suffix":""}],"container-title":"The Journal of Criminal Law","id":"ITEM-1","issue":"5","issued":{"date-parts":[["2015","10","1"]]},"note":"doi: 10.1177/0022018315603591","page":"330-343","publisher":"SAGE Publications Ltd","title":"Interpreting the Contours of Self-Defence within the Boundaries of the Rule of Law, the Common Law and Human Rights","type":"article-journal","volume":"79"},"uris":["http://www.mendeley.com/documents/?uuid=cd8169e9-ce2d-4035-9024-ce4c245a79e2"]}],"mendeley":{"formattedCitation":"(Elliott, 2015)","plainTextFormattedCitation":"(Elliott, 2015)","previouslyFormattedCitation":"(Elliott, 2015)"},"properties":{"noteIndex":0},"schema":"https://github.com/citation-style-language/schema/raw/master/csl-citation.json"}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4" w:name="__Fieldmark__3_1427214957"/>
      <w:r w:rsidRPr="00D27CA3">
        <w:rPr>
          <w:rFonts w:eastAsia="Cambria"/>
          <w:b w:val="0"/>
          <w:iCs/>
        </w:rPr>
        <w:t>Elliott, 2015)</w:t>
      </w:r>
      <w:r w:rsidRPr="00D27CA3">
        <w:rPr>
          <w:rFonts w:eastAsia="Cambria"/>
          <w:b w:val="0"/>
          <w:iCs/>
        </w:rPr>
        <w:fldChar w:fldCharType="end"/>
      </w:r>
      <w:bookmarkEnd w:id="4"/>
      <w:r w:rsidRPr="00D27CA3">
        <w:rPr>
          <w:rFonts w:eastAsia="Cambria"/>
          <w:b w:val="0"/>
          <w:iCs/>
        </w:rPr>
        <w:t xml:space="preserve">. </w:t>
      </w:r>
      <w:r w:rsidRPr="00D27CA3">
        <w:rPr>
          <w:b w:val="0"/>
          <w:lang w:val="en-ID"/>
        </w:rPr>
        <w:t xml:space="preserve">In the practice of a deep democratic state, </w:t>
      </w:r>
      <w:r w:rsidRPr="00D27CA3">
        <w:rPr>
          <w:rFonts w:eastAsia="Cambria"/>
          <w:b w:val="0"/>
          <w:iCs/>
        </w:rPr>
        <w:t xml:space="preserve">this concept purposes to obtain and implement law education policies for the community. </w:t>
      </w:r>
    </w:p>
    <w:p w:rsidR="00D27CA3" w:rsidRPr="00D27CA3" w:rsidRDefault="00D27CA3" w:rsidP="00D27CA3">
      <w:pPr>
        <w:pStyle w:val="Heading1"/>
        <w:spacing w:before="0"/>
        <w:jc w:val="both"/>
        <w:rPr>
          <w:rFonts w:eastAsia="Cambria"/>
          <w:b w:val="0"/>
          <w:iCs/>
        </w:rPr>
      </w:pPr>
      <w:r w:rsidRPr="00D27CA3">
        <w:rPr>
          <w:b w:val="0"/>
          <w:lang w:val="en-ID"/>
        </w:rPr>
        <w:t>However, the practice of this concept</w:t>
      </w:r>
      <w:r w:rsidRPr="00D27CA3">
        <w:rPr>
          <w:rFonts w:eastAsia="Cambria"/>
          <w:b w:val="0"/>
          <w:iCs/>
        </w:rPr>
        <w:t xml:space="preserve"> during the Covid-19 Pandemic has encountered many obstacles. Some evidences in Indonesia have shown some difficulties in implementing the rule of Law Education concept, namely:</w:t>
      </w:r>
    </w:p>
    <w:p w:rsidR="00D27CA3" w:rsidRPr="00D27CA3" w:rsidRDefault="00D27CA3" w:rsidP="00D27CA3">
      <w:pPr>
        <w:pStyle w:val="Heading1"/>
        <w:numPr>
          <w:ilvl w:val="0"/>
          <w:numId w:val="8"/>
        </w:numPr>
        <w:spacing w:before="0"/>
        <w:jc w:val="both"/>
        <w:rPr>
          <w:rFonts w:eastAsia="Cambria"/>
          <w:b w:val="0"/>
          <w:iCs/>
          <w:sz w:val="24"/>
          <w:szCs w:val="24"/>
        </w:rPr>
      </w:pPr>
      <w:r w:rsidRPr="00D27CA3">
        <w:rPr>
          <w:b w:val="0"/>
          <w:sz w:val="24"/>
          <w:szCs w:val="24"/>
          <w:shd w:val="clear" w:color="auto" w:fill="FFFFFF"/>
          <w:lang w:val="en-ID"/>
        </w:rPr>
        <w:t xml:space="preserve">The construction of Law Education </w:t>
      </w:r>
      <w:proofErr w:type="gramStart"/>
      <w:r w:rsidRPr="00D27CA3">
        <w:rPr>
          <w:b w:val="0"/>
          <w:sz w:val="24"/>
          <w:szCs w:val="24"/>
          <w:shd w:val="clear" w:color="auto" w:fill="FFFFFF"/>
          <w:lang w:val="en-ID"/>
        </w:rPr>
        <w:t>is closely related</w:t>
      </w:r>
      <w:proofErr w:type="gramEnd"/>
      <w:r w:rsidRPr="00D27CA3">
        <w:rPr>
          <w:b w:val="0"/>
          <w:sz w:val="24"/>
          <w:szCs w:val="24"/>
          <w:shd w:val="clear" w:color="auto" w:fill="FFFFFF"/>
          <w:lang w:val="en-ID"/>
        </w:rPr>
        <w:t xml:space="preserve"> to the right upon information during the pandemic. </w:t>
      </w:r>
      <w:r w:rsidRPr="00D27CA3">
        <w:rPr>
          <w:rFonts w:eastAsia="Cambria"/>
          <w:b w:val="0"/>
          <w:iCs/>
          <w:sz w:val="24"/>
          <w:szCs w:val="24"/>
        </w:rPr>
        <w:t xml:space="preserve"> </w:t>
      </w:r>
      <w:r w:rsidRPr="00D27CA3">
        <w:rPr>
          <w:b w:val="0"/>
        </w:rPr>
        <w:fldChar w:fldCharType="begin"/>
      </w:r>
      <w:r w:rsidRPr="00D27CA3">
        <w:rPr>
          <w:b w:val="0"/>
        </w:rPr>
        <w:instrText>ADDIN CSL_CITATION {"citationItems":[{"id":"ITEM-1","itemData":{"DOI":"10.30641/ham.2020.11.239-253","author":[{"dropping-particle":"","family":"Christianto","given":"Hwian","non-dropping-particle":"","parse-names":false,"suffix":""}],"container-title":"Jurnal HAM","id":"ITEM-1","issue":"2","issued":{"date-parts":[["2020"]]},"title":"Penggunaan Media Internet dalam Pemenuhan Hak atas Pendidikan di Masa Pandemi Covid-19: Perspektif Hak Asasi Manusia dan Hukum Pidana","type":"article-journal","volume":"11"},"uris":["http://www.mendeley.com/documents/?uuid=5b221082-5efd-4312-9ccc-80b30f66458b"]}],"mendeley":{"formattedCitation":"(Christianto, 2020)","plainTextFormattedCitation":"(Christianto, 2020)","previouslyFormattedCitation":"(Christianto, 2020)"},"properties":{"noteIndex":0},"schema":"https://github.com/citation-style-language/schema/raw/master/csl-citation.json"}</w:instrText>
      </w:r>
      <w:r w:rsidRPr="00D27CA3">
        <w:rPr>
          <w:rFonts w:eastAsia="Cambria"/>
          <w:b w:val="0"/>
          <w:iCs/>
          <w:sz w:val="24"/>
          <w:szCs w:val="24"/>
        </w:rPr>
        <w:fldChar w:fldCharType="separate"/>
      </w:r>
      <w:r w:rsidRPr="00D27CA3">
        <w:rPr>
          <w:rFonts w:eastAsia="Cambria"/>
          <w:b w:val="0"/>
          <w:iCs/>
          <w:sz w:val="24"/>
          <w:szCs w:val="24"/>
        </w:rPr>
        <w:t>(</w:t>
      </w:r>
      <w:bookmarkStart w:id="5" w:name="__Fieldmark__4_1427214957"/>
      <w:r w:rsidRPr="00D27CA3">
        <w:rPr>
          <w:rFonts w:eastAsia="Cambria"/>
          <w:b w:val="0"/>
          <w:iCs/>
          <w:sz w:val="24"/>
          <w:szCs w:val="24"/>
        </w:rPr>
        <w:t>Christianto, 2020)</w:t>
      </w:r>
      <w:r w:rsidRPr="00D27CA3">
        <w:rPr>
          <w:rFonts w:eastAsia="Cambria"/>
          <w:b w:val="0"/>
          <w:iCs/>
          <w:sz w:val="24"/>
          <w:szCs w:val="24"/>
        </w:rPr>
        <w:fldChar w:fldCharType="end"/>
      </w:r>
      <w:bookmarkEnd w:id="5"/>
    </w:p>
    <w:p w:rsidR="00D27CA3" w:rsidRPr="00D27CA3" w:rsidRDefault="00D27CA3" w:rsidP="00D27CA3">
      <w:pPr>
        <w:pStyle w:val="Heading1"/>
        <w:numPr>
          <w:ilvl w:val="0"/>
          <w:numId w:val="8"/>
        </w:numPr>
        <w:spacing w:before="0"/>
        <w:jc w:val="both"/>
        <w:rPr>
          <w:b w:val="0"/>
          <w:sz w:val="24"/>
          <w:szCs w:val="24"/>
          <w:shd w:val="clear" w:color="auto" w:fill="FFFFFF"/>
          <w:lang w:val="en-ID"/>
        </w:rPr>
      </w:pPr>
      <w:r w:rsidRPr="00D27CA3">
        <w:rPr>
          <w:b w:val="0"/>
          <w:sz w:val="24"/>
          <w:szCs w:val="24"/>
          <w:shd w:val="clear" w:color="auto" w:fill="FFFFFF"/>
          <w:lang w:val="en-ID"/>
        </w:rPr>
        <w:t xml:space="preserve">The pandemic reminds </w:t>
      </w:r>
      <w:proofErr w:type="gramStart"/>
      <w:r w:rsidRPr="00D27CA3">
        <w:rPr>
          <w:b w:val="0"/>
          <w:sz w:val="24"/>
          <w:szCs w:val="24"/>
          <w:shd w:val="clear" w:color="auto" w:fill="FFFFFF"/>
          <w:lang w:val="en-ID"/>
        </w:rPr>
        <w:t>us that learning is not only in the classroom, but also at home and many supporting places</w:t>
      </w:r>
      <w:proofErr w:type="gramEnd"/>
      <w:r w:rsidRPr="00D27CA3">
        <w:rPr>
          <w:b w:val="0"/>
          <w:sz w:val="24"/>
          <w:szCs w:val="24"/>
          <w:shd w:val="clear" w:color="auto" w:fill="FFFFFF"/>
          <w:lang w:val="en-ID"/>
        </w:rPr>
        <w:t xml:space="preserve">. </w:t>
      </w:r>
      <w:r w:rsidRPr="00D27CA3">
        <w:rPr>
          <w:b w:val="0"/>
        </w:rPr>
        <w:fldChar w:fldCharType="begin"/>
      </w:r>
      <w:r w:rsidRPr="00D27CA3">
        <w:rPr>
          <w:b w:val="0"/>
        </w:rPr>
        <w:instrText>ADDIN CSL_CITATION {"citationItems":[{"id":"ITEM-1","itemData":{"author":[{"dropping-particle":"","family":"Rochmani","given":"","non-dropping-particle":"","parse-names":false,"suffix":""}],"container-title":"fh.unisbank.ac.id","id":"ITEM-1","issued":{"date-parts":[["2020"]]},"title":"PENDIDIKAN Di MASA PANDEMI COVID 19","type":"article-magazine"},"uris":["http://www.mendeley.com/documents/?uuid=222ddf84-7445-4080-81b5-4fd6c90a7953"]}],"mendeley":{"formattedCitation":"(Rochmani, 2020)","plainTextFormattedCitation":"(Rochmani, 2020)","previouslyFormattedCitation":"(Rochmani, 2020)"},"properties":{"noteIndex":0},"schema":"https://github.com/citation-style-language/schema/raw/master/csl-citation.json"}</w:instrText>
      </w:r>
      <w:r w:rsidRPr="00D27CA3">
        <w:rPr>
          <w:b w:val="0"/>
          <w:sz w:val="24"/>
          <w:szCs w:val="24"/>
          <w:shd w:val="clear" w:color="auto" w:fill="FFFFFF"/>
          <w:lang w:val="en-ID"/>
        </w:rPr>
        <w:fldChar w:fldCharType="separate"/>
      </w:r>
      <w:r w:rsidRPr="00D27CA3">
        <w:rPr>
          <w:b w:val="0"/>
          <w:sz w:val="24"/>
          <w:szCs w:val="24"/>
          <w:shd w:val="clear" w:color="auto" w:fill="FFFFFF"/>
          <w:lang w:val="en-ID"/>
        </w:rPr>
        <w:t>(</w:t>
      </w:r>
      <w:bookmarkStart w:id="6" w:name="__Fieldmark__5_1427214957"/>
      <w:r w:rsidRPr="00D27CA3">
        <w:rPr>
          <w:b w:val="0"/>
          <w:sz w:val="24"/>
          <w:szCs w:val="24"/>
          <w:shd w:val="clear" w:color="auto" w:fill="FFFFFF"/>
          <w:lang w:val="en-ID"/>
        </w:rPr>
        <w:t>Rochmani, 2020)</w:t>
      </w:r>
      <w:r w:rsidRPr="00D27CA3">
        <w:rPr>
          <w:b w:val="0"/>
          <w:sz w:val="24"/>
          <w:szCs w:val="24"/>
          <w:shd w:val="clear" w:color="auto" w:fill="FFFFFF"/>
          <w:lang w:val="en-ID"/>
        </w:rPr>
        <w:fldChar w:fldCharType="end"/>
      </w:r>
      <w:bookmarkEnd w:id="6"/>
    </w:p>
    <w:p w:rsidR="00D27CA3" w:rsidRPr="00D27CA3" w:rsidRDefault="00D27CA3" w:rsidP="00D27CA3">
      <w:pPr>
        <w:pStyle w:val="Heading1"/>
        <w:numPr>
          <w:ilvl w:val="0"/>
          <w:numId w:val="8"/>
        </w:numPr>
        <w:spacing w:before="0"/>
        <w:jc w:val="both"/>
        <w:rPr>
          <w:b w:val="0"/>
          <w:sz w:val="24"/>
          <w:szCs w:val="24"/>
          <w:shd w:val="clear" w:color="auto" w:fill="FFFFFF"/>
        </w:rPr>
      </w:pPr>
      <w:r w:rsidRPr="00D27CA3">
        <w:rPr>
          <w:b w:val="0"/>
          <w:sz w:val="24"/>
          <w:szCs w:val="24"/>
          <w:shd w:val="clear" w:color="auto" w:fill="FFFFFF"/>
        </w:rPr>
        <w:t xml:space="preserve">In terms of law enforcement, the government must prepare further scenarios in handling Covid-19, especially to anticipate the predicted increase in the number of infections. Besides, the law must also be </w:t>
      </w:r>
      <w:proofErr w:type="gramStart"/>
      <w:r w:rsidRPr="00D27CA3">
        <w:rPr>
          <w:b w:val="0"/>
          <w:sz w:val="24"/>
          <w:szCs w:val="24"/>
          <w:shd w:val="clear" w:color="auto" w:fill="FFFFFF"/>
        </w:rPr>
        <w:t>well-enforced</w:t>
      </w:r>
      <w:proofErr w:type="gramEnd"/>
      <w:r w:rsidRPr="00D27CA3">
        <w:rPr>
          <w:b w:val="0"/>
          <w:sz w:val="24"/>
          <w:szCs w:val="24"/>
          <w:shd w:val="clear" w:color="auto" w:fill="FFFFFF"/>
        </w:rPr>
        <w:t xml:space="preserve"> when handling it in order that it can help to prevent a similar outbreak. </w:t>
      </w:r>
      <w:r w:rsidRPr="00D27CA3">
        <w:rPr>
          <w:b w:val="0"/>
        </w:rPr>
        <w:fldChar w:fldCharType="begin"/>
      </w:r>
      <w:r w:rsidRPr="00D27CA3">
        <w:rPr>
          <w:b w:val="0"/>
        </w:rPr>
        <w:instrText>ADDIN CSL_CITATION {"citationItems":[{"id":"ITEM-1","itemData":{"author":[{"dropping-particle":"","family":"Ramadayanti","given":"Ega","non-dropping-particle":"","parse-names":false,"suffix":""}],"container-title":"fh.unpad.ac.id","id":"ITEM-1","issued":{"date-parts":[["2020"]]},"title":"COVID-19 dalam Perspektif One Health Approach dan Law Enforcement","type":"article-magazine"},"uris":["http://www.mendeley.com/documents/?uuid=0ba258dd-b095-4f29-b0ab-423149e6b412"]}],"mendeley":{"formattedCitation":"(Ramadayanti, 2020)","plainTextFormattedCitation":"(Ramadayanti, 2020)","previouslyFormattedCitation":"(Ramadayanti, 2020)"},"properties":{"noteIndex":0},"schema":"https://github.com/citation-style-language/schema/raw/master/csl-citation.json"}</w:instrText>
      </w:r>
      <w:r w:rsidRPr="00D27CA3">
        <w:rPr>
          <w:b w:val="0"/>
          <w:sz w:val="24"/>
          <w:szCs w:val="24"/>
          <w:shd w:val="clear" w:color="auto" w:fill="FFFFFF"/>
        </w:rPr>
        <w:fldChar w:fldCharType="separate"/>
      </w:r>
      <w:r w:rsidRPr="00D27CA3">
        <w:rPr>
          <w:b w:val="0"/>
          <w:sz w:val="24"/>
          <w:szCs w:val="24"/>
          <w:shd w:val="clear" w:color="auto" w:fill="FFFFFF"/>
          <w:lang w:val="en-ID"/>
        </w:rPr>
        <w:t>(</w:t>
      </w:r>
      <w:bookmarkStart w:id="7" w:name="__Fieldmark__6_1427214957"/>
      <w:r w:rsidRPr="00D27CA3">
        <w:rPr>
          <w:b w:val="0"/>
          <w:sz w:val="24"/>
          <w:szCs w:val="24"/>
          <w:shd w:val="clear" w:color="auto" w:fill="FFFFFF"/>
          <w:lang w:val="en-ID"/>
        </w:rPr>
        <w:t>Ramadayanti, 2020)</w:t>
      </w:r>
      <w:r w:rsidRPr="00D27CA3">
        <w:rPr>
          <w:b w:val="0"/>
          <w:sz w:val="24"/>
          <w:szCs w:val="24"/>
          <w:shd w:val="clear" w:color="auto" w:fill="FFFFFF"/>
        </w:rPr>
        <w:fldChar w:fldCharType="end"/>
      </w:r>
      <w:bookmarkEnd w:id="7"/>
    </w:p>
    <w:p w:rsidR="00D27CA3" w:rsidRPr="00D27CA3" w:rsidRDefault="00D27CA3" w:rsidP="00D27CA3">
      <w:pPr>
        <w:pStyle w:val="Heading1"/>
        <w:numPr>
          <w:ilvl w:val="0"/>
          <w:numId w:val="8"/>
        </w:numPr>
        <w:spacing w:before="0"/>
        <w:jc w:val="both"/>
        <w:rPr>
          <w:rFonts w:eastAsia="Cambria"/>
          <w:b w:val="0"/>
          <w:iCs/>
          <w:sz w:val="24"/>
          <w:szCs w:val="24"/>
        </w:rPr>
      </w:pPr>
      <w:r w:rsidRPr="00D27CA3">
        <w:rPr>
          <w:b w:val="0"/>
          <w:sz w:val="24"/>
          <w:szCs w:val="24"/>
          <w:shd w:val="clear" w:color="auto" w:fill="FFFFFF"/>
          <w:lang w:val="en-ID"/>
        </w:rPr>
        <w:t xml:space="preserve">There are many characteristics of law change during the pandemic, especially New Habits.  </w:t>
      </w:r>
      <w:r w:rsidRPr="00D27CA3">
        <w:rPr>
          <w:rFonts w:eastAsia="Cambria"/>
          <w:b w:val="0"/>
          <w:iCs/>
          <w:sz w:val="24"/>
          <w:szCs w:val="24"/>
        </w:rPr>
        <w:t xml:space="preserve"> </w:t>
      </w:r>
      <w:r w:rsidRPr="00D27CA3">
        <w:rPr>
          <w:b w:val="0"/>
        </w:rPr>
        <w:fldChar w:fldCharType="begin"/>
      </w:r>
      <w:r w:rsidRPr="00D27CA3">
        <w:rPr>
          <w:b w:val="0"/>
        </w:rPr>
        <w:instrText>ADDIN CSL_CITATION {"citationItems":[{"id":"ITEM-1","itemData":{"author":[{"dropping-particle":"","family":"Andi","given":"Ferdian","non-dropping-particle":"","parse-names":false,"suffix":""}],"container-title":"Kompas.com","id":"ITEM-1","issued":{"date-parts":[["2020"]]},"title":"Great Reset Hukum di Masa Pandemi","type":"article-magazine"},"uris":["http://www.mendeley.com/documents/?uuid=3ee517e3-33ce-4e66-95c3-e5cc92d1b86c"]}],"mendeley":{"formattedCitation":"(Andi, 2020)","plainTextFormattedCitation":"(Andi, 2020)","previouslyFormattedCitation":"(Andi, 2020)"},"properties":{"noteIndex":0},"schema":"https://github.com/citation-style-language/schema/raw/master/csl-citation.json"}</w:instrText>
      </w:r>
      <w:r w:rsidRPr="00D27CA3">
        <w:rPr>
          <w:rFonts w:eastAsia="Cambria"/>
          <w:b w:val="0"/>
          <w:iCs/>
          <w:sz w:val="24"/>
          <w:szCs w:val="24"/>
        </w:rPr>
        <w:fldChar w:fldCharType="separate"/>
      </w:r>
      <w:r w:rsidRPr="00D27CA3">
        <w:rPr>
          <w:rFonts w:eastAsia="Cambria"/>
          <w:b w:val="0"/>
          <w:iCs/>
          <w:sz w:val="24"/>
          <w:szCs w:val="24"/>
        </w:rPr>
        <w:t>(</w:t>
      </w:r>
      <w:bookmarkStart w:id="8" w:name="__Fieldmark__7_1427214957"/>
      <w:r w:rsidRPr="00D27CA3">
        <w:rPr>
          <w:rFonts w:eastAsia="Cambria"/>
          <w:b w:val="0"/>
          <w:iCs/>
          <w:sz w:val="24"/>
          <w:szCs w:val="24"/>
        </w:rPr>
        <w:t>Andi, 2020)</w:t>
      </w:r>
      <w:r w:rsidRPr="00D27CA3">
        <w:rPr>
          <w:rFonts w:eastAsia="Cambria"/>
          <w:b w:val="0"/>
          <w:iCs/>
          <w:sz w:val="24"/>
          <w:szCs w:val="24"/>
        </w:rPr>
        <w:fldChar w:fldCharType="end"/>
      </w:r>
      <w:bookmarkEnd w:id="8"/>
    </w:p>
    <w:p w:rsidR="00D27CA3" w:rsidRPr="00D27CA3" w:rsidRDefault="00D27CA3" w:rsidP="00D27CA3">
      <w:pPr>
        <w:pStyle w:val="Heading1"/>
        <w:numPr>
          <w:ilvl w:val="0"/>
          <w:numId w:val="8"/>
        </w:numPr>
        <w:spacing w:before="0"/>
        <w:jc w:val="both"/>
        <w:rPr>
          <w:b w:val="0"/>
        </w:rPr>
      </w:pPr>
      <w:r w:rsidRPr="00D27CA3">
        <w:rPr>
          <w:b w:val="0"/>
          <w:sz w:val="24"/>
          <w:szCs w:val="24"/>
        </w:rPr>
        <w:t xml:space="preserve">New legal rules will be used to regulate life after the Covid-19 Pandemic </w:t>
      </w:r>
      <w:r w:rsidRPr="00D27CA3">
        <w:rPr>
          <w:b w:val="0"/>
          <w:sz w:val="24"/>
          <w:szCs w:val="24"/>
        </w:rPr>
        <w:fldChar w:fldCharType="begin"/>
      </w:r>
      <w:r w:rsidRPr="00D27CA3">
        <w:rPr>
          <w:b w:val="0"/>
          <w:sz w:val="24"/>
          <w:szCs w:val="24"/>
        </w:rPr>
        <w:instrText>ADDIN CSL_CITATION {"citationItems":[{"id":"ITEM-1","itemData":{"author":[{"dropping-particle":"","family":"Suryono","given":"Kelik Endro","non-dropping-particle":"","parse-names":false,"suffix":""}],"container-title":"http://new.widyamataram.ac.id/","id":"ITEM-1","issued":{"date-parts":[["2020"]]},"title":"Peranan Hukum Tata Negara dalam Pandemi Covid-19 dan Menuju ke Arah New Normal","type":"article-magazine"},"uris":["http://www.mendeley.com/documents/?uuid=2aaa0597-f41e-4a6d-8fdd-a4675aff9568"]}],"mendeley":{"formattedCitation":"(Suryono, 2020)","plainTextFormattedCitation":"(Suryono, 2020)","previouslyFormattedCitation":"(Suryono, 2020)"},"properties":{"noteIndex":0},"schema":"https://github.com/citation-style-language/schema/raw/master/csl-citation.json"}</w:instrText>
      </w:r>
      <w:r w:rsidRPr="00D27CA3">
        <w:rPr>
          <w:b w:val="0"/>
          <w:sz w:val="24"/>
          <w:szCs w:val="24"/>
        </w:rPr>
        <w:fldChar w:fldCharType="separate"/>
      </w:r>
      <w:r w:rsidRPr="00D27CA3">
        <w:rPr>
          <w:b w:val="0"/>
          <w:sz w:val="24"/>
          <w:szCs w:val="24"/>
        </w:rPr>
        <w:t>(</w:t>
      </w:r>
      <w:bookmarkStart w:id="9" w:name="__Fieldmark__8_1427214957"/>
      <w:r w:rsidRPr="00D27CA3">
        <w:rPr>
          <w:b w:val="0"/>
          <w:sz w:val="24"/>
          <w:szCs w:val="24"/>
        </w:rPr>
        <w:t>Suryono, 2020)</w:t>
      </w:r>
      <w:r w:rsidRPr="00D27CA3">
        <w:rPr>
          <w:b w:val="0"/>
          <w:sz w:val="24"/>
          <w:szCs w:val="24"/>
        </w:rPr>
        <w:fldChar w:fldCharType="end"/>
      </w:r>
      <w:bookmarkEnd w:id="9"/>
      <w:r w:rsidRPr="00D27CA3">
        <w:rPr>
          <w:b w:val="0"/>
          <w:sz w:val="24"/>
          <w:szCs w:val="24"/>
        </w:rPr>
        <w:t>.</w:t>
      </w:r>
    </w:p>
    <w:p w:rsidR="00D27CA3" w:rsidRPr="00D27CA3" w:rsidRDefault="00D27CA3" w:rsidP="00D27CA3">
      <w:pPr>
        <w:pStyle w:val="Heading1"/>
        <w:spacing w:before="0"/>
        <w:jc w:val="both"/>
        <w:rPr>
          <w:rFonts w:eastAsia="Cambria"/>
          <w:b w:val="0"/>
          <w:iCs/>
        </w:rPr>
      </w:pPr>
      <w:r w:rsidRPr="00D27CA3">
        <w:rPr>
          <w:rFonts w:eastAsia="Cambria"/>
          <w:b w:val="0"/>
          <w:iCs/>
        </w:rPr>
        <w:t xml:space="preserve">Based on the phenomenon concerning data and facts of the difficulty of implementing Law Education </w:t>
      </w:r>
      <w:r w:rsidRPr="00D27CA3">
        <w:rPr>
          <w:b w:val="0"/>
          <w:lang w:val="en-ID"/>
        </w:rPr>
        <w:t>during</w:t>
      </w:r>
      <w:r w:rsidRPr="00D27CA3">
        <w:rPr>
          <w:rFonts w:eastAsia="Cambria"/>
          <w:b w:val="0"/>
          <w:iCs/>
        </w:rPr>
        <w:t xml:space="preserve"> the Covid-19 pandemic in Indonesia context, it is necessary to make efforts to optimize communication technology as a vehicle for education in the concept of rule of law for academic community. This is in line with Rajkovi's statement </w:t>
      </w:r>
      <w:r w:rsidRPr="00D27CA3">
        <w:rPr>
          <w:b w:val="0"/>
        </w:rPr>
        <w:fldChar w:fldCharType="begin"/>
      </w:r>
      <w:r w:rsidRPr="00D27CA3">
        <w:rPr>
          <w:b w:val="0"/>
        </w:rPr>
        <w:instrText>ADDIN CSL_CITATION {"citationItems":[{"id":"ITEM-1","itemData":{"DOI":"10.1177/1354066110380966","ISSN":"1354-0661","abstract":"This article challenges the optimism common to liberal IR and IL scholarship on the ?rule of law? in global governance. It argues that the concept of the ?rule of law? is often employed with sparse inquiry into the politics of its practical meaning. Specifically, the article focuses on liberal research that advocates the emergence of a ?global? judiciary, and the claim that judicial governance will marginalize state power and authority. Rather than employ a zero-sum conception of power, this article regards a prospective global legal system less as a constraint on state power and more as a rationale for rule ?through? law by vested actors. To make the argument, Michel Foucault?s concept of ?governmentality? is combined with Barnett and Duvall?s notion of ?productive power? to denote how legal techniques of power are integral to the construction of social ?truth? and consequently the governance of conduct. This is further associated with Koskenniemi?s critical scholarship on the power of law?s perceived objectivity and universality. In this vein, the article questions how liberal scholars use the American judicial model (the Marbury ideal) to claim that an institutionalization of ?global? judicial authority can deliver the rule of ?no one? in global governance. A governmentality perspective is then applied which suggests that the lack of supreme constitutional rules at the global level makes judicial governance less a check than a means to propagate normative standards conducive to dominant state power.","author":[{"dropping-particle":"","family":"Rajkovic","given":"Nikolas M","non-dropping-particle":"","parse-names":false,"suffix":""}],"container-title":"European Journal of International Relations","id":"ITEM-1","issue":"1","issued":{"date-parts":[["2010","11","18"]]},"note":"doi: 10.1177/1354066110380966","page":"29-52","publisher":"SAGE Publications Ltd","title":"‘Global law’ and governmentality: Reconceptualizing the ‘rule of law’ as rule ‘through’ law","type":"article-journal","volume":"18"},"suppress-author":1,"uris":["http://www.mendeley.com/documents/?uuid=ec30136c-e8dc-4adc-82eb-de0a396b21f4"]}],"mendeley":{"formattedCitation":"(2010)","plainTextFormattedCitation":"(2010)","previouslyFormattedCitation":"(2010)"},"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10" w:name="__Fieldmark__9_1427214957"/>
      <w:r w:rsidRPr="00D27CA3">
        <w:rPr>
          <w:rFonts w:eastAsia="Cambria"/>
          <w:b w:val="0"/>
          <w:iCs/>
        </w:rPr>
        <w:t>2010)</w:t>
      </w:r>
      <w:r w:rsidRPr="00D27CA3">
        <w:rPr>
          <w:rFonts w:eastAsia="Cambria"/>
          <w:b w:val="0"/>
          <w:iCs/>
        </w:rPr>
        <w:fldChar w:fldCharType="end"/>
      </w:r>
      <w:bookmarkEnd w:id="10"/>
      <w:r w:rsidRPr="00D27CA3">
        <w:rPr>
          <w:rFonts w:eastAsia="Cambria"/>
          <w:b w:val="0"/>
          <w:iCs/>
        </w:rPr>
        <w:t xml:space="preserve"> that the highest constitutional rule spreads normative standards that are conducive for dominant state power.</w:t>
      </w:r>
    </w:p>
    <w:p w:rsidR="00D27CA3" w:rsidRPr="00D27CA3" w:rsidRDefault="00D27CA3" w:rsidP="00D27CA3">
      <w:pPr>
        <w:pStyle w:val="Heading1"/>
        <w:spacing w:before="0"/>
        <w:jc w:val="both"/>
        <w:rPr>
          <w:rFonts w:eastAsia="Cambria"/>
          <w:b w:val="0"/>
          <w:iCs/>
        </w:rPr>
      </w:pPr>
      <w:r w:rsidRPr="00D27CA3">
        <w:rPr>
          <w:rFonts w:eastAsia="Cambria"/>
          <w:b w:val="0"/>
          <w:iCs/>
        </w:rPr>
        <w:t>Based on the Indonesian Information and Communication Technology Development Index (IP-TIK), the use of communication technology in Indonesia in 2016 has reached 4.34 (scale 1 to 10) from 3.88 in the previous year. In addition, in Indonesia, the population of smartphone users has experienced a significant increase</w:t>
      </w:r>
      <w:r w:rsidRPr="00D27CA3">
        <w:rPr>
          <w:rFonts w:eastAsia="Cambria"/>
          <w:iCs/>
        </w:rPr>
        <w:t>.</w:t>
      </w:r>
    </w:p>
    <w:p w:rsidR="00D27CA3" w:rsidRPr="00AB5116" w:rsidRDefault="00D27CA3" w:rsidP="00D27CA3">
      <w:pPr>
        <w:spacing w:before="50"/>
        <w:ind w:firstLine="720"/>
        <w:jc w:val="center"/>
        <w:rPr>
          <w:rFonts w:eastAsia="Cambria"/>
          <w:iCs/>
          <w:sz w:val="24"/>
          <w:szCs w:val="24"/>
        </w:rPr>
      </w:pPr>
      <w:r w:rsidRPr="00E83ABE">
        <w:rPr>
          <w:rFonts w:eastAsia="Cambria"/>
          <w:noProof/>
          <w:color w:val="363435"/>
          <w:sz w:val="24"/>
          <w:szCs w:val="24"/>
        </w:rPr>
        <w:drawing>
          <wp:inline distT="0" distB="0" distL="0" distR="0">
            <wp:extent cx="3038475"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8475" cy="1905000"/>
                    </a:xfrm>
                    <a:prstGeom prst="rect">
                      <a:avLst/>
                    </a:prstGeom>
                    <a:noFill/>
                    <a:ln>
                      <a:noFill/>
                    </a:ln>
                  </pic:spPr>
                </pic:pic>
              </a:graphicData>
            </a:graphic>
          </wp:inline>
        </w:drawing>
      </w:r>
    </w:p>
    <w:p w:rsidR="00D27CA3" w:rsidRPr="00D27CA3" w:rsidRDefault="00D27CA3" w:rsidP="00D27CA3">
      <w:pPr>
        <w:spacing w:before="50"/>
        <w:ind w:firstLine="720"/>
        <w:jc w:val="center"/>
        <w:rPr>
          <w:rFonts w:eastAsia="Cambria"/>
          <w:iCs/>
        </w:rPr>
      </w:pPr>
      <w:r w:rsidRPr="00D27CA3">
        <w:rPr>
          <w:rFonts w:eastAsia="Cambria"/>
          <w:bCs/>
          <w:iCs/>
        </w:rPr>
        <w:t xml:space="preserve">Figure 1. </w:t>
      </w:r>
      <w:r w:rsidRPr="00D27CA3">
        <w:rPr>
          <w:rFonts w:eastAsia="Cambria"/>
          <w:iCs/>
        </w:rPr>
        <w:t>Growth of Smartphone Users in Indonesia</w:t>
      </w:r>
    </w:p>
    <w:p w:rsidR="00D27CA3" w:rsidRPr="00D27CA3" w:rsidRDefault="00D27CA3" w:rsidP="00D27CA3">
      <w:pPr>
        <w:spacing w:before="50"/>
        <w:ind w:firstLine="720"/>
        <w:jc w:val="center"/>
        <w:rPr>
          <w:rFonts w:eastAsia="Cambria"/>
          <w:iCs/>
        </w:rPr>
      </w:pPr>
      <w:r w:rsidRPr="00D27CA3">
        <w:rPr>
          <w:rFonts w:eastAsia="Cambria"/>
          <w:iCs/>
        </w:rPr>
        <w:t xml:space="preserve">Source: </w:t>
      </w:r>
      <w:r w:rsidRPr="00D27CA3">
        <w:fldChar w:fldCharType="begin"/>
      </w:r>
      <w:r w:rsidRPr="00D27CA3">
        <w:instrText>ADDIN CSL_CITATION {"citationItems":[{"id":"ITEM-1","itemData":{"author":[{"dropping-particle":"","family":"Edwin","given":"Yoseph","non-dropping-particle":"","parse-names":false,"suffix":""}],"container-title":"beritagar.id","id":"ITEM-1","issued":{"date-parts":[["2017"]]},"title":"10 Fakta pengguna internet di Indonesia dan dunia","type":"article-magazine"},"uris":["http://www.mendeley.com/documents/?uuid=8ba491e2-c48e-419f-8811-134b0fb092dc"]}],"mendeley":{"formattedCitation":"(Edwin, 2017)","plainTextFormattedCitation":"(Edwin, 2017)","previouslyFormattedCitation":"(Edwin, 2017)"},"properties":{"noteIndex":0},"schema":"https://github.com/citation-style-language/schema/raw/master/csl-citation.json"}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11" w:name="__Fieldmark__10_1427214957"/>
      <w:r w:rsidRPr="00D27CA3">
        <w:rPr>
          <w:rFonts w:eastAsia="Cambria"/>
          <w:iCs/>
        </w:rPr>
        <w:t>Edwin, 2017)</w:t>
      </w:r>
      <w:r w:rsidRPr="00D27CA3">
        <w:rPr>
          <w:rFonts w:eastAsia="Cambria"/>
          <w:iCs/>
        </w:rPr>
        <w:fldChar w:fldCharType="end"/>
      </w:r>
      <w:bookmarkEnd w:id="11"/>
    </w:p>
    <w:p w:rsidR="00D27CA3" w:rsidRDefault="00D27CA3" w:rsidP="00D27CA3">
      <w:pPr>
        <w:pStyle w:val="Heading1"/>
        <w:spacing w:before="0"/>
        <w:jc w:val="both"/>
        <w:rPr>
          <w:rFonts w:eastAsia="Cambria"/>
          <w:b w:val="0"/>
          <w:iCs/>
        </w:rPr>
      </w:pPr>
      <w:r w:rsidRPr="00D27CA3">
        <w:rPr>
          <w:rFonts w:eastAsia="Cambria"/>
          <w:b w:val="0"/>
          <w:iCs/>
        </w:rPr>
        <w:t>Regarding the current situation of implementing the concept of rule of Law Education during the pandemic, High School of Teacher Training and Education (STKIP) is one of the tertiary institutions in Cimahi City that carries out the activities of the Law State Concept Education course in the Department of Pancasila and Citizenship Education. The institute supports the steps taken by the government in developing the optimization of communication technology as a vehicle for education in the concept of rule of law in the academic community during the pandemic.</w:t>
      </w:r>
    </w:p>
    <w:p w:rsidR="00D27CA3" w:rsidRDefault="00D27CA3" w:rsidP="00D27CA3">
      <w:pPr>
        <w:pStyle w:val="Heading1"/>
        <w:spacing w:before="0"/>
        <w:jc w:val="both"/>
        <w:rPr>
          <w:rFonts w:eastAsia="Cambria"/>
          <w:b w:val="0"/>
          <w:iCs/>
        </w:rPr>
      </w:pPr>
      <w:r w:rsidRPr="00D27CA3">
        <w:rPr>
          <w:rFonts w:eastAsia="Cambria"/>
          <w:b w:val="0"/>
          <w:iCs/>
        </w:rPr>
        <w:t xml:space="preserve">Based on the previous background, the study highlighted the optimization of communication technology as a vehicle for education in the concept of a rule of law in the academic community during the Covid-19 </w:t>
      </w:r>
      <w:r w:rsidRPr="00D27CA3">
        <w:rPr>
          <w:rFonts w:eastAsia="Cambria"/>
          <w:b w:val="0"/>
          <w:iCs/>
        </w:rPr>
        <w:lastRenderedPageBreak/>
        <w:t xml:space="preserve">pandemic in the context of STKIP Pasundan Cimahi. </w:t>
      </w:r>
    </w:p>
    <w:p w:rsidR="00D27CA3" w:rsidRDefault="00D27CA3" w:rsidP="00D27CA3">
      <w:pPr>
        <w:pStyle w:val="Heading1"/>
        <w:spacing w:before="0"/>
        <w:jc w:val="both"/>
        <w:rPr>
          <w:rFonts w:eastAsia="Cambria"/>
          <w:b w:val="0"/>
          <w:iCs/>
        </w:rPr>
      </w:pPr>
    </w:p>
    <w:p w:rsidR="00D27CA3" w:rsidRDefault="00D27CA3" w:rsidP="00D27CA3">
      <w:pPr>
        <w:pStyle w:val="Heading1"/>
        <w:spacing w:before="0"/>
        <w:jc w:val="both"/>
        <w:rPr>
          <w:rFonts w:eastAsia="Cambria"/>
          <w:bCs w:val="0"/>
          <w:iCs/>
          <w:sz w:val="24"/>
          <w:szCs w:val="24"/>
        </w:rPr>
      </w:pPr>
      <w:r w:rsidRPr="00D27CA3">
        <w:rPr>
          <w:rFonts w:eastAsia="Cambria"/>
          <w:bCs w:val="0"/>
          <w:iCs/>
          <w:sz w:val="24"/>
          <w:szCs w:val="24"/>
        </w:rPr>
        <w:t xml:space="preserve">Methods </w:t>
      </w:r>
    </w:p>
    <w:p w:rsidR="00D27CA3" w:rsidRPr="00D27CA3" w:rsidRDefault="00D27CA3" w:rsidP="00D27CA3">
      <w:pPr>
        <w:pStyle w:val="Heading1"/>
        <w:spacing w:before="0"/>
        <w:jc w:val="both"/>
        <w:rPr>
          <w:rFonts w:eastAsia="Cambria"/>
          <w:b w:val="0"/>
          <w:iCs/>
        </w:rPr>
      </w:pPr>
      <w:r w:rsidRPr="00D27CA3">
        <w:rPr>
          <w:rFonts w:eastAsia="Cambria"/>
          <w:b w:val="0"/>
          <w:iCs/>
        </w:rPr>
        <w:t xml:space="preserve">This study used a qualitative case study approach to dig deep information about the optimization of communication technology as a vehicle for education in the concept of a rule of law in the academic community during the Covid-19 pandemic. Moleong </w:t>
      </w:r>
      <w:r w:rsidRPr="00D27CA3">
        <w:rPr>
          <w:b w:val="0"/>
        </w:rPr>
        <w:fldChar w:fldCharType="begin"/>
      </w:r>
      <w:r w:rsidRPr="00D27CA3">
        <w:rPr>
          <w:b w:val="0"/>
        </w:rPr>
        <w:instrText>ADDIN CSL_CITATION {"citationItems":[{"id":"ITEM-1","itemData":{"author":[{"dropping-particle":"","family":"Moleong","given":"Lexy J.","non-dropping-particle":"","parse-names":false,"suffix":""}],"id":"ITEM-1","issued":{"date-parts":[["2007"]]},"publisher":"PT Remaja Rosdakarya","publisher-place":"Bandung","title":"Metodologi Penelitian Kualitatif","type":"book"},"suppress-author":1,"uris":["http://www.mendeley.com/documents/?uuid=87d651b1-d968-4123-948b-dcc3c4e9afff"]}],"mendeley":{"formattedCitation":"(2007)","plainTextFormattedCitation":"(2007)","previouslyFormattedCitation":"(2007)"},"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12" w:name="__Fieldmark__11_1427214957"/>
      <w:r w:rsidRPr="00D27CA3">
        <w:rPr>
          <w:rFonts w:eastAsia="Cambria"/>
          <w:b w:val="0"/>
          <w:iCs/>
        </w:rPr>
        <w:t>2007)</w:t>
      </w:r>
      <w:r w:rsidRPr="00D27CA3">
        <w:rPr>
          <w:rFonts w:eastAsia="Cambria"/>
          <w:b w:val="0"/>
          <w:iCs/>
        </w:rPr>
        <w:fldChar w:fldCharType="end"/>
      </w:r>
      <w:bookmarkEnd w:id="12"/>
      <w:r w:rsidRPr="00D27CA3">
        <w:rPr>
          <w:rFonts w:eastAsia="Cambria"/>
          <w:b w:val="0"/>
          <w:iCs/>
        </w:rPr>
        <w:t xml:space="preserve"> states that a qualitative approach is a research procedure that produces descriptive data in the form of written words. Data collection </w:t>
      </w:r>
      <w:proofErr w:type="gramStart"/>
      <w:r w:rsidRPr="00D27CA3">
        <w:rPr>
          <w:rFonts w:eastAsia="Cambria"/>
          <w:b w:val="0"/>
          <w:iCs/>
        </w:rPr>
        <w:t>techniques which</w:t>
      </w:r>
      <w:proofErr w:type="gramEnd"/>
      <w:r w:rsidRPr="00D27CA3">
        <w:rPr>
          <w:rFonts w:eastAsia="Cambria"/>
          <w:b w:val="0"/>
          <w:iCs/>
        </w:rPr>
        <w:t xml:space="preserve"> include interviews, literature study and documentation.</w:t>
      </w:r>
    </w:p>
    <w:p w:rsidR="00D27CA3" w:rsidRDefault="00D27CA3" w:rsidP="00D27CA3">
      <w:pPr>
        <w:spacing w:before="50"/>
        <w:rPr>
          <w:rFonts w:eastAsia="Cambria"/>
          <w:b/>
          <w:bCs/>
          <w:iCs/>
          <w:sz w:val="24"/>
          <w:szCs w:val="24"/>
        </w:rPr>
      </w:pPr>
    </w:p>
    <w:p w:rsidR="00AE3609" w:rsidRPr="002A5DBE" w:rsidRDefault="00AE3609" w:rsidP="00AE3609">
      <w:pPr>
        <w:pStyle w:val="Paragraph"/>
        <w:spacing w:line="240" w:lineRule="auto"/>
        <w:ind w:firstLine="0"/>
        <w:rPr>
          <w:bCs/>
        </w:rPr>
      </w:pPr>
    </w:p>
    <w:p w:rsidR="00D27CA3" w:rsidRDefault="0097087A" w:rsidP="00D27CA3">
      <w:pPr>
        <w:pStyle w:val="Heading1"/>
        <w:spacing w:before="0"/>
        <w:jc w:val="both"/>
      </w:pPr>
      <w:r w:rsidRPr="00AE3609">
        <w:t>FINDINGS AND DISCUSSION</w:t>
      </w:r>
    </w:p>
    <w:p w:rsidR="00D27CA3" w:rsidRDefault="00D27CA3" w:rsidP="00D27CA3">
      <w:pPr>
        <w:pStyle w:val="Heading1"/>
        <w:spacing w:before="0"/>
        <w:jc w:val="both"/>
        <w:rPr>
          <w:rFonts w:eastAsia="Cambria"/>
          <w:b w:val="0"/>
          <w:iCs/>
          <w:lang w:val="id-ID"/>
        </w:rPr>
      </w:pPr>
      <w:r w:rsidRPr="00D27CA3">
        <w:rPr>
          <w:rFonts w:eastAsia="Cambria"/>
          <w:b w:val="0"/>
          <w:iCs/>
        </w:rPr>
        <w:t>Based on the research, this study has obtained several results. First, communication technology as a vehicle for education in the concept of a rule of law in the academic community during the pandemic was to teach students about rights and obligations as good citizens. Second, the campus has a role to involve</w:t>
      </w:r>
      <w:r w:rsidRPr="00D27CA3">
        <w:rPr>
          <w:b w:val="0"/>
        </w:rPr>
        <w:t xml:space="preserve"> </w:t>
      </w:r>
      <w:r w:rsidRPr="00D27CA3">
        <w:rPr>
          <w:rFonts w:eastAsia="Cambria"/>
          <w:b w:val="0"/>
          <w:iCs/>
          <w:lang w:val="id-ID"/>
        </w:rPr>
        <w:t>the concept of a law state through student</w:t>
      </w:r>
      <w:r w:rsidRPr="00D27CA3">
        <w:rPr>
          <w:rFonts w:eastAsia="Cambria"/>
          <w:b w:val="0"/>
          <w:iCs/>
        </w:rPr>
        <w:t>s’</w:t>
      </w:r>
      <w:r w:rsidRPr="00D27CA3">
        <w:rPr>
          <w:rFonts w:eastAsia="Cambria"/>
          <w:b w:val="0"/>
          <w:iCs/>
          <w:lang w:val="id-ID"/>
        </w:rPr>
        <w:t xml:space="preserve"> campus activity programs</w:t>
      </w:r>
      <w:r w:rsidRPr="00D27CA3">
        <w:rPr>
          <w:rFonts w:eastAsia="Cambria"/>
          <w:b w:val="0"/>
          <w:iCs/>
        </w:rPr>
        <w:t xml:space="preserve">. Third, </w:t>
      </w:r>
      <w:r w:rsidRPr="00D27CA3">
        <w:rPr>
          <w:rFonts w:eastAsia="Cambria"/>
          <w:b w:val="0"/>
          <w:iCs/>
          <w:lang w:val="id-ID"/>
        </w:rPr>
        <w:t xml:space="preserve">a way out </w:t>
      </w:r>
      <w:r w:rsidRPr="00D27CA3">
        <w:rPr>
          <w:rFonts w:eastAsia="Cambria"/>
          <w:b w:val="0"/>
          <w:iCs/>
        </w:rPr>
        <w:t>to deal</w:t>
      </w:r>
      <w:r w:rsidRPr="00D27CA3">
        <w:rPr>
          <w:rFonts w:eastAsia="Cambria"/>
          <w:b w:val="0"/>
          <w:iCs/>
          <w:lang w:val="id-ID"/>
        </w:rPr>
        <w:t xml:space="preserve"> with educational obstacles</w:t>
      </w:r>
      <w:r w:rsidRPr="00D27CA3">
        <w:rPr>
          <w:rFonts w:eastAsia="Cambria"/>
          <w:b w:val="0"/>
          <w:iCs/>
        </w:rPr>
        <w:t>,</w:t>
      </w:r>
      <w:r w:rsidRPr="00D27CA3">
        <w:rPr>
          <w:b w:val="0"/>
        </w:rPr>
        <w:t xml:space="preserve"> </w:t>
      </w:r>
      <w:r w:rsidRPr="00D27CA3">
        <w:rPr>
          <w:rFonts w:eastAsia="Cambria"/>
          <w:b w:val="0"/>
          <w:iCs/>
        </w:rPr>
        <w:t>t</w:t>
      </w:r>
      <w:r w:rsidRPr="00D27CA3">
        <w:rPr>
          <w:rFonts w:eastAsia="Cambria"/>
          <w:b w:val="0"/>
          <w:iCs/>
          <w:lang w:val="id-ID"/>
        </w:rPr>
        <w:t xml:space="preserve">he concept of a rule of law during </w:t>
      </w:r>
      <w:r w:rsidRPr="00D27CA3">
        <w:rPr>
          <w:rFonts w:eastAsia="Cambria"/>
          <w:b w:val="0"/>
          <w:iCs/>
        </w:rPr>
        <w:t>the</w:t>
      </w:r>
      <w:r w:rsidRPr="00D27CA3">
        <w:rPr>
          <w:rFonts w:eastAsia="Cambria"/>
          <w:b w:val="0"/>
          <w:iCs/>
          <w:lang w:val="id-ID"/>
        </w:rPr>
        <w:t xml:space="preserve"> pandemic </w:t>
      </w:r>
      <w:r w:rsidRPr="00D27CA3">
        <w:rPr>
          <w:rFonts w:eastAsia="Cambria"/>
          <w:b w:val="0"/>
          <w:iCs/>
        </w:rPr>
        <w:t>was</w:t>
      </w:r>
      <w:r w:rsidRPr="00D27CA3">
        <w:rPr>
          <w:rFonts w:eastAsia="Cambria"/>
          <w:b w:val="0"/>
          <w:iCs/>
          <w:lang w:val="id-ID"/>
        </w:rPr>
        <w:t xml:space="preserve"> to improve the quality of programs during learning.</w:t>
      </w:r>
    </w:p>
    <w:p w:rsidR="00D27CA3" w:rsidRDefault="00D27CA3" w:rsidP="00D27CA3">
      <w:pPr>
        <w:pStyle w:val="Heading1"/>
        <w:spacing w:before="0"/>
        <w:jc w:val="both"/>
        <w:rPr>
          <w:b w:val="0"/>
          <w:lang w:val="en-ID"/>
        </w:rPr>
      </w:pPr>
      <w:r w:rsidRPr="00D27CA3">
        <w:rPr>
          <w:rFonts w:eastAsia="Cambria"/>
          <w:b w:val="0"/>
          <w:iCs/>
        </w:rPr>
        <w:t>Based on the results of interview, the study indicated that the optimization of communication technology as a vehicle for education in the concept of the rule of law in the academic community during the Covid-19 pandemic purposed to teach students about their rights and obligations as a good citizen. This finding is supported by a study’s finding that teaching students about their rights and obligations is</w:t>
      </w:r>
      <w:r w:rsidRPr="00D27CA3">
        <w:rPr>
          <w:b w:val="0"/>
          <w:lang w:val="en-ID"/>
        </w:rPr>
        <w:t xml:space="preserve"> one of the tasks given at every level of education </w:t>
      </w:r>
      <w:r w:rsidRPr="00D27CA3">
        <w:rPr>
          <w:b w:val="0"/>
        </w:rPr>
        <w:fldChar w:fldCharType="begin"/>
      </w:r>
      <w:r w:rsidRPr="00D27CA3">
        <w:rPr>
          <w:b w:val="0"/>
        </w:rPr>
        <w:instrText>ADDIN CSL_CITATION {"citationItems":[{"id":"ITEM-1","itemData":{"author":[{"dropping-particle":"","family":"Ali","given":"Yusuf Faisal","non-dropping-particle":"","parse-names":false,"suffix":""}],"container-title":"Untirta Civic Education Journal","id":"ITEM-1","issue":"2","issued":{"date-parts":[["2017"]]},"page":"91-112","title":"UPAYA TOKOH AGAMA DALAM MENGEMBANGKAN SIKAP TOLERANSI ANTARUMAT BERAGAMA","type":"article-journal","volume":"17"},"uris":["http://www.mendeley.com/documents/?uuid=1ce30961-113d-421e-bdd1-3979ffde20f2"]}],"mendeley":{"formattedCitation":"(Ali, 2017)","plainTextFormattedCitation":"(Ali, 2017)","previouslyFormattedCitation":"(Ali, 2017)"},"properties":{"noteIndex":0},"schema":"https://github.com/citation-style-language/schema/raw/master/csl-citation.json"}</w:instrText>
      </w:r>
      <w:r w:rsidRPr="00D27CA3">
        <w:rPr>
          <w:b w:val="0"/>
          <w:lang w:val="en-ID"/>
        </w:rPr>
        <w:fldChar w:fldCharType="separate"/>
      </w:r>
      <w:r w:rsidRPr="00D27CA3">
        <w:rPr>
          <w:b w:val="0"/>
          <w:lang w:val="en-ID"/>
        </w:rPr>
        <w:t>(</w:t>
      </w:r>
      <w:bookmarkStart w:id="13" w:name="__Fieldmark__0_415532779"/>
      <w:r w:rsidRPr="00D27CA3">
        <w:rPr>
          <w:b w:val="0"/>
          <w:lang w:val="en-ID"/>
        </w:rPr>
        <w:t>Ali, 2017)</w:t>
      </w:r>
      <w:r w:rsidRPr="00D27CA3">
        <w:rPr>
          <w:b w:val="0"/>
          <w:lang w:val="en-ID"/>
        </w:rPr>
        <w:fldChar w:fldCharType="end"/>
      </w:r>
      <w:bookmarkEnd w:id="13"/>
      <w:r w:rsidRPr="00D27CA3">
        <w:rPr>
          <w:b w:val="0"/>
          <w:lang w:val="en-ID"/>
        </w:rPr>
        <w:t xml:space="preserve">. Besides, the </w:t>
      </w:r>
      <w:r w:rsidRPr="00D27CA3">
        <w:rPr>
          <w:rFonts w:eastAsia="Cambria"/>
          <w:b w:val="0"/>
          <w:iCs/>
        </w:rPr>
        <w:t xml:space="preserve">optimization of communication technology is also in line with the analysis of technology needs that information and communication technology (ICT) is currently being prepared for the community based on cutting-edge research in industrial laboratories </w:t>
      </w:r>
      <w:r w:rsidRPr="00D27CA3">
        <w:rPr>
          <w:b w:val="0"/>
        </w:rPr>
        <w:fldChar w:fldCharType="begin"/>
      </w:r>
      <w:r w:rsidRPr="00D27CA3">
        <w:rPr>
          <w:b w:val="0"/>
        </w:rPr>
        <w:instrText>ADDIN CSL_CITATION {"citationItems":[{"id":"ITEM-1","itemData":{"DOI":"10.1177/0539018408092575","ISSN":"0539-0184","abstract":"Digitization of society raises concerns about privacy. This article first describes privacy threats of life-logging. It gives the technically novice reader a quick overview of what information and communication technology (ICT) is currently preparing for society, based on state-of-the art research in the industry laboratories: ubiquitous computing, aware environments, the Internet of Things, and so on. We explain how geolocation systems work and how they can provide detailed accounts of personal activity that will deeply affect privacy. At present, system designers rarely implement privacy-enhancing technologies ? we explain why, based on empirical research. On the other hand, users, while expressing concern, do not protect themselves in practice ? we list reasons for this. The problem is complex because the very nature of identity and social relations works against protecting personal data; this is the privacy dilemma. At least two key mechanisms in the production of good interaction and in the construction of social status are based on personal data disclosure. Then we discuss the nature of privacy, based on field observation. Privacy loss can be seen as `losing face'. We detail this notion, based on a discussion of the notion of face, and especially the Asian social construct of `Chemyon'. We then propose a new, positive, definition of privacy as `keeping face'. This positive notion can be used to build constructive guidelines for enhancing privacy in systems design, compatible with the way designers perceive their role. These guidelines are presented in an annex, after a short conclusion that advocates a constructive ? perhaps risky ? role for social science in the construction of future information and communication technology. 1","author":[{"dropping-particle":"","family":"Lahlou","given":"Saadi","non-dropping-particle":"","parse-names":false,"suffix":""}],"container-title":"Social Science Information","id":"ITEM-1","issue":"3","issued":{"date-parts":[["2008","9","1"]]},"note":"doi: 10.1177/0539018408092575","page":"299-330","publisher":"SAGE Publications Ltd","title":"Identity, social status, privacy and face-keeping in digital society","type":"article-journal","volume":"47"},"suppress-author":1,"uris":["http://www.mendeley.com/documents/?uuid=827ba849-ad07-4db1-8656-3a505ee55be3"]}],"mendeley":{"formattedCitation":"(2008)","plainTextFormattedCitation":"(2008)","previouslyFormattedCitation":"(2008)"},"properties":{"noteIndex":0},"schema":"https://github.com/citation-style-language/schema/raw/master/csl-citation.json"}</w:instrText>
      </w:r>
      <w:r w:rsidRPr="00D27CA3">
        <w:rPr>
          <w:b w:val="0"/>
          <w:lang w:val="en-ID"/>
        </w:rPr>
        <w:fldChar w:fldCharType="separate"/>
      </w:r>
      <w:r w:rsidRPr="00D27CA3">
        <w:rPr>
          <w:rFonts w:eastAsia="Cambria"/>
          <w:b w:val="0"/>
          <w:iCs/>
        </w:rPr>
        <w:t>(</w:t>
      </w:r>
      <w:bookmarkStart w:id="14" w:name="__Fieldmark__1_415532779"/>
      <w:r w:rsidRPr="00D27CA3">
        <w:rPr>
          <w:rFonts w:eastAsia="Cambria"/>
          <w:b w:val="0"/>
          <w:iCs/>
        </w:rPr>
        <w:t>Lahlou, 2008)</w:t>
      </w:r>
      <w:r w:rsidRPr="00D27CA3">
        <w:rPr>
          <w:b w:val="0"/>
          <w:lang w:val="en-ID"/>
        </w:rPr>
        <w:fldChar w:fldCharType="end"/>
      </w:r>
      <w:bookmarkEnd w:id="14"/>
      <w:r w:rsidRPr="00D27CA3">
        <w:rPr>
          <w:b w:val="0"/>
          <w:lang w:val="en-ID"/>
        </w:rPr>
        <w:t>.</w:t>
      </w:r>
    </w:p>
    <w:p w:rsidR="00D27CA3" w:rsidRPr="00D27CA3" w:rsidRDefault="00D27CA3" w:rsidP="00D27CA3">
      <w:pPr>
        <w:pStyle w:val="Heading1"/>
        <w:spacing w:before="0"/>
        <w:jc w:val="both"/>
        <w:rPr>
          <w:b w:val="0"/>
        </w:rPr>
      </w:pPr>
    </w:p>
    <w:p w:rsidR="00D27CA3" w:rsidRPr="00923760" w:rsidRDefault="00D27CA3" w:rsidP="00D27CA3">
      <w:pPr>
        <w:spacing w:before="50"/>
        <w:ind w:firstLine="720"/>
        <w:jc w:val="center"/>
        <w:rPr>
          <w:rFonts w:eastAsia="Cambria"/>
          <w:iCs/>
          <w:sz w:val="24"/>
          <w:szCs w:val="24"/>
        </w:rPr>
      </w:pPr>
      <w:r w:rsidRPr="00E83ABE">
        <w:rPr>
          <w:rFonts w:eastAsia="Cambria"/>
          <w:noProof/>
          <w:color w:val="363435"/>
          <w:sz w:val="24"/>
          <w:szCs w:val="24"/>
        </w:rPr>
        <w:drawing>
          <wp:inline distT="0" distB="0" distL="0" distR="0">
            <wp:extent cx="3171825" cy="1638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71825" cy="1638300"/>
                    </a:xfrm>
                    <a:prstGeom prst="rect">
                      <a:avLst/>
                    </a:prstGeom>
                    <a:noFill/>
                    <a:ln>
                      <a:noFill/>
                    </a:ln>
                  </pic:spPr>
                </pic:pic>
              </a:graphicData>
            </a:graphic>
          </wp:inline>
        </w:drawing>
      </w:r>
    </w:p>
    <w:p w:rsidR="00D27CA3" w:rsidRPr="00D27CA3" w:rsidRDefault="00D27CA3" w:rsidP="00D27CA3">
      <w:pPr>
        <w:spacing w:before="50"/>
        <w:ind w:left="851"/>
        <w:jc w:val="center"/>
        <w:rPr>
          <w:lang w:val="en-ID"/>
        </w:rPr>
      </w:pPr>
      <w:r w:rsidRPr="00D27CA3">
        <w:rPr>
          <w:rFonts w:eastAsia="Cambria"/>
          <w:bCs/>
          <w:iCs/>
        </w:rPr>
        <w:t>Figure 2.</w:t>
      </w:r>
      <w:r w:rsidRPr="00D27CA3">
        <w:rPr>
          <w:rFonts w:eastAsia="Cambria"/>
          <w:iCs/>
        </w:rPr>
        <w:t xml:space="preserve"> Online Learning through Zoom Meeting</w:t>
      </w:r>
    </w:p>
    <w:p w:rsidR="00D27CA3" w:rsidRDefault="00D27CA3" w:rsidP="00D27CA3">
      <w:pPr>
        <w:pStyle w:val="Heading1"/>
        <w:spacing w:before="0"/>
        <w:jc w:val="both"/>
        <w:rPr>
          <w:rFonts w:eastAsia="Cambria"/>
          <w:b w:val="0"/>
          <w:iCs/>
        </w:rPr>
      </w:pPr>
      <w:r w:rsidRPr="00D27CA3">
        <w:rPr>
          <w:b w:val="0"/>
          <w:lang w:val="en-ID"/>
        </w:rPr>
        <w:t xml:space="preserve">This study also showed that </w:t>
      </w:r>
      <w:r w:rsidRPr="00D27CA3">
        <w:rPr>
          <w:rFonts w:eastAsia="Cambria"/>
          <w:b w:val="0"/>
          <w:iCs/>
        </w:rPr>
        <w:t>communication technology</w:t>
      </w:r>
      <w:r w:rsidRPr="00D27CA3">
        <w:rPr>
          <w:rFonts w:eastAsia="Cambria"/>
          <w:b w:val="0"/>
          <w:iCs/>
          <w:lang w:val="id-ID"/>
        </w:rPr>
        <w:t xml:space="preserve"> emphasizes the theory and principles of the rule of law. </w:t>
      </w:r>
      <w:r w:rsidRPr="00D27CA3">
        <w:rPr>
          <w:rFonts w:eastAsia="Cambria"/>
          <w:b w:val="0"/>
          <w:iCs/>
        </w:rPr>
        <w:t>These</w:t>
      </w:r>
      <w:r w:rsidRPr="00D27CA3">
        <w:rPr>
          <w:rFonts w:eastAsia="Cambria"/>
          <w:b w:val="0"/>
          <w:iCs/>
          <w:lang w:val="id-ID"/>
        </w:rPr>
        <w:t xml:space="preserve"> findings are similar to Skaaning's</w:t>
      </w:r>
      <w:r w:rsidRPr="00D27CA3">
        <w:rPr>
          <w:rFonts w:eastAsia="Cambria"/>
          <w:b w:val="0"/>
          <w:iCs/>
        </w:rPr>
        <w:t xml:space="preserve"> </w:t>
      </w:r>
      <w:r w:rsidRPr="00D27CA3">
        <w:rPr>
          <w:rFonts w:eastAsia="Cambria"/>
          <w:b w:val="0"/>
          <w:iCs/>
          <w:lang w:val="id-ID"/>
        </w:rPr>
        <w:t>opinion</w:t>
      </w:r>
      <w:r w:rsidRPr="00D27CA3">
        <w:rPr>
          <w:rFonts w:eastAsia="Cambria"/>
          <w:b w:val="0"/>
          <w:iCs/>
        </w:rPr>
        <w:t xml:space="preserve"> </w:t>
      </w:r>
      <w:r w:rsidRPr="00D27CA3">
        <w:rPr>
          <w:b w:val="0"/>
        </w:rPr>
        <w:fldChar w:fldCharType="begin"/>
      </w:r>
      <w:r w:rsidRPr="00D27CA3">
        <w:rPr>
          <w:b w:val="0"/>
        </w:rPr>
        <w:instrText>ADDIN CSL_CITATION {"citationItems":[{"id":"ITEM-1","itemData":{"DOI":"10.1177/1065912909346745","ISSN":"1065-9129","abstract":"This article offers a comparative review of seven rule of law measures. It demonstrates that the measures differ in both form and appropriateness and that the differences have consequences for the empirical results. The shortcomings are, among others, restrictions in scope and availability of disaggregate data, insufficient codebooks, and unjustified aggregation procedures. In most cases, the task of conceptualization is not grounded in theory, and key principles of the rule of law are left out while more inappropriate elements are included. These findings suggest that more precaution is required in the construction and employment of rule of law measures.","author":[{"dropping-particle":"","family":"Skaaning","given":"Svend-Erik","non-dropping-particle":"","parse-names":false,"suffix":""}],"container-title":"Political Research Quarterly","id":"ITEM-1","issue":"2","issued":{"date-parts":[["2009","9","22"]]},"note":"doi: 10.1177/1065912909346745","page":"449-460","publisher":"SAGE Publications Inc","title":"Measuring the Rule of Law","type":"article-journal","volume":"63"},"suppress-author":1,"uris":["http://www.mendeley.com/documents/?uuid=c8ce11ab-0eee-4cdd-bb44-125d911a94eb"]}],"mendeley":{"formattedCitation":"(2009)","plainTextFormattedCitation":"(2009)","previouslyFormattedCitation":"(2009)"},"properties":{"noteIndex":0},"schema":"https://github.com/citation-style-language/schema/raw/master/csl-citation.json"}</w:instrText>
      </w:r>
      <w:r w:rsidRPr="00D27CA3">
        <w:rPr>
          <w:b w:val="0"/>
          <w:lang w:val="en-ID"/>
        </w:rPr>
        <w:fldChar w:fldCharType="separate"/>
      </w:r>
      <w:r w:rsidRPr="00D27CA3">
        <w:rPr>
          <w:rFonts w:eastAsia="Cambria"/>
          <w:b w:val="0"/>
          <w:iCs/>
        </w:rPr>
        <w:t>(</w:t>
      </w:r>
      <w:bookmarkStart w:id="15" w:name="__Fieldmark__2_415532779"/>
      <w:r w:rsidRPr="00D27CA3">
        <w:rPr>
          <w:rFonts w:eastAsia="Cambria"/>
          <w:b w:val="0"/>
          <w:iCs/>
        </w:rPr>
        <w:t>2009)</w:t>
      </w:r>
      <w:r w:rsidRPr="00D27CA3">
        <w:rPr>
          <w:b w:val="0"/>
          <w:lang w:val="en-ID"/>
        </w:rPr>
        <w:fldChar w:fldCharType="end"/>
      </w:r>
      <w:bookmarkEnd w:id="15"/>
      <w:r w:rsidRPr="00D27CA3">
        <w:rPr>
          <w:b w:val="0"/>
          <w:lang w:val="en-ID"/>
        </w:rPr>
        <w:t xml:space="preserve"> </w:t>
      </w:r>
      <w:r w:rsidRPr="00D27CA3">
        <w:rPr>
          <w:rFonts w:eastAsia="Cambria"/>
          <w:b w:val="0"/>
          <w:iCs/>
        </w:rPr>
        <w:t>that in many cases, the task of conceptualization is not based on theory, so that the main principles of the rule of law are sometimes ignored. However, the students at STKIP Pasundan Cimahi had obeyed all existing regulations during the pandemic.</w:t>
      </w:r>
    </w:p>
    <w:p w:rsidR="00D27CA3" w:rsidRDefault="00D27CA3" w:rsidP="00D27CA3">
      <w:pPr>
        <w:pStyle w:val="Heading1"/>
        <w:spacing w:before="0"/>
        <w:jc w:val="both"/>
        <w:rPr>
          <w:rFonts w:eastAsia="Cambria"/>
          <w:b w:val="0"/>
          <w:iCs/>
        </w:rPr>
      </w:pPr>
      <w:r w:rsidRPr="00D27CA3">
        <w:rPr>
          <w:rFonts w:eastAsia="Cambria"/>
          <w:b w:val="0"/>
          <w:iCs/>
        </w:rPr>
        <w:t xml:space="preserve">Principally, techno-pedagogy theoretically supports the integration of technology in learning </w:t>
      </w:r>
      <w:r w:rsidRPr="00D27CA3">
        <w:rPr>
          <w:b w:val="0"/>
        </w:rPr>
        <w:fldChar w:fldCharType="begin"/>
      </w:r>
      <w:r w:rsidRPr="00D27CA3">
        <w:rPr>
          <w:b w:val="0"/>
        </w:rPr>
        <w:instrText>ADDIN CSL_CITATION {"citationItems":[{"id":"ITEM-1","itemData":{"DOI":"10.1177/0033688220907199","ISSN":"0033-6882","abstract":"Technology use in English for Academic Purposes (EAP) programmes is seen as a strategy to support pedagogical innovation and intensifying growth in post-secondary international student enrolments. This article discusses government-funded research documenting the largely undefined use of technologies in post-secondary North American EAP programmes. This study surveyed EAP teachers and administrators in over 40 universities and colleges across North America using qualitative and quantitative approaches. Site visits involving classroom observations, interviews with teachers and administrators, student focus groups and student surveys were then conducted to deepen understanding of the affordances of technology-mediated EAP approaches from stakeholder perspectives in situated post-secondary contexts. Findings reveal widespread enthusiasm about emerging technologies to engage learners, develop autonomous learning, instructional pathways and transferable 21st century skills. However, despite this enthusiasm, many participating teachers, administrators and students also expressed critical views towards technology integration. Instructors noted time, lack of pedagogical guidance and vision, inadequate support, and training impacting their actual use and visions of technology use. Participants also revealed a ?visioning? dilemma where they had difficulty identifying the potential of emerging technologies that they had no concrete experience with. Findings suggest the need for sound theoretically informed techno-pedagogy in order to support technology integration in EAP. Implications for teacher education, further research and EAP teaching and curriculum design in today?s digital era conclude the article.","author":[{"dropping-particle":"","family":"Lawrence","given":"Geoff","non-dropping-particle":"","parse-names":false,"suffix":""},{"dropping-particle":"","family":"Ahmed","given":"Farhana","non-dropping-particle":"","parse-names":false,"suffix":""},{"dropping-particle":"","family":"Cole","given":"Christina","non-dropping-particle":"","parse-names":false,"suffix":""},{"dropping-particle":"","family":"Johnston","given":"Kris Pierre","non-dropping-particle":"","parse-names":false,"suffix":""}],"container-title":"RELC Journal","id":"ITEM-1","issue":"1","issued":{"date-parts":[["2020","4","1"]]},"note":"doi: 10.1177/0033688220907199","page":"101-116","publisher":"SAGE Publications Ltd","title":"Not More Technology but More Effective Technology: Examining the State of Technology Integration in EAP Programmes","type":"article-journal","volume":"51"},"uris":["http://www.mendeley.com/documents/?uuid=43a60a84-128e-473e-9b08-91e5f61dd753"]}],"mendeley":{"formattedCitation":"(Lawrence, Ahmed, Cole, &amp; Johnston, 2020)","plainTextFormattedCitation":"(Lawrence, Ahmed, Cole, &amp; Johnston, 2020)","previouslyFormattedCitation":"(Lawrence, Ahmed, Cole, &amp; Johnston, 2020)"},"properties":{"noteIndex":0},"schema":"https://github.com/citation-style-language/schema/raw/master/csl-citation.json"}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16" w:name="__Fieldmark__3_415532779"/>
      <w:r w:rsidRPr="00D27CA3">
        <w:rPr>
          <w:rFonts w:eastAsia="Cambria"/>
          <w:b w:val="0"/>
          <w:iCs/>
        </w:rPr>
        <w:t>Lawrence et al. 2020)</w:t>
      </w:r>
      <w:r w:rsidRPr="00D27CA3">
        <w:rPr>
          <w:rFonts w:eastAsia="Cambria"/>
          <w:b w:val="0"/>
          <w:iCs/>
        </w:rPr>
        <w:fldChar w:fldCharType="end"/>
      </w:r>
      <w:bookmarkEnd w:id="16"/>
      <w:r w:rsidRPr="00D27CA3">
        <w:rPr>
          <w:rFonts w:eastAsia="Cambria"/>
          <w:b w:val="0"/>
          <w:iCs/>
        </w:rPr>
        <w:t>. Thus, the optimization of communication technology in this study was leading to the tendency for technology needs that the rapid development of information and communication technology has caused the internet and social media to become important platforms for public participation</w:t>
      </w:r>
      <w:r w:rsidRPr="00D27CA3">
        <w:rPr>
          <w:b w:val="0"/>
        </w:rPr>
        <w:t xml:space="preserve"> </w:t>
      </w:r>
      <w:r w:rsidRPr="00D27CA3">
        <w:rPr>
          <w:b w:val="0"/>
        </w:rPr>
        <w:fldChar w:fldCharType="begin"/>
      </w:r>
      <w:r w:rsidRPr="00D27CA3">
        <w:rPr>
          <w:b w:val="0"/>
        </w:rPr>
        <w:instrText>ADDIN CSL_CITATION {"citationItems":[{"id":"ITEM-1","itemData":{"DOI":"10.1177/2399808317690154","ISSN":"2399-8083","abstract":"The rapid development of information and communication technology has led to the Internet and social media becoming a vital platform for public participation in China. The present research sought to understand the complexity of participation in the network society by taking the cancellation of the number 55 bus route in Shanghai as a case study. Both qualitative and quantitative research methods were used to analyze data from a leading social networking site in China. An analysis of participation patterns led to an understanding of the main characteristics of public participation in the network society, and a statistical analysis of the network revealed the features of elite participants in the planning adjustment. A qualitative approach was also used to explore the communication process, which was influenced by Chinese social capital?guanxi. The case study revealed an uneven pattern of public participation in the network society, and suggestions are provided to enhance fairness and effectiveness in this process.","author":[{"dropping-particle":"","family":"Zhao","given":"Miaoxi","non-dropping-particle":"","parse-names":false,"suffix":""},{"dropping-particle":"","family":"Lin","given":"Yanliu","non-dropping-particle":"","parse-names":false,"suffix":""},{"dropping-particle":"","family":"Derudder","given":"Ben","non-dropping-particle":"","parse-names":false,"suffix":""}],"container-title":"Environment and Planning B: Urban Analytics and City Science","id":"ITEM-1","issue":"3","issued":{"date-parts":[["2017","2","1"]]},"note":"doi: 10.1177/2399808317690154","page":"529-547","publisher":"SAGE Publications Ltd STM","title":"Demonstration of public participation and communication through social media in the network society within Shanghai","type":"article-journal","volume":"45"},"suppress-author":1,"uris":["http://www.mendeley.com/documents/?uuid=0b9c97df-482f-4504-8815-71d981204a37"]}],"mendeley":{"formattedCitation":"(2017)","plainTextFormattedCitation":"(2017)","previouslyFormattedCitation":"(2017)"},"properties":{"noteIndex":0},"schema":"https://github.com/citation-style-language/schema/raw/master/csl-citation.json"}</w:instrText>
      </w:r>
      <w:r w:rsidRPr="00D27CA3">
        <w:rPr>
          <w:rFonts w:eastAsia="Cambria"/>
          <w:b w:val="0"/>
          <w:iCs/>
        </w:rPr>
        <w:fldChar w:fldCharType="separate"/>
      </w:r>
      <w:r w:rsidRPr="00D27CA3">
        <w:rPr>
          <w:rFonts w:eastAsia="Cambria"/>
          <w:b w:val="0"/>
          <w:iCs/>
        </w:rPr>
        <w:t>(</w:t>
      </w:r>
      <w:bookmarkStart w:id="17" w:name="__Fieldmark__4_415532779"/>
      <w:r w:rsidRPr="00D27CA3">
        <w:rPr>
          <w:rFonts w:eastAsia="Cambria"/>
          <w:b w:val="0"/>
          <w:iCs/>
        </w:rPr>
        <w:t>Zhao et al, 2017)</w:t>
      </w:r>
      <w:r w:rsidRPr="00D27CA3">
        <w:rPr>
          <w:rFonts w:eastAsia="Cambria"/>
          <w:b w:val="0"/>
          <w:iCs/>
        </w:rPr>
        <w:fldChar w:fldCharType="end"/>
      </w:r>
      <w:bookmarkEnd w:id="17"/>
      <w:r w:rsidRPr="00D27CA3">
        <w:rPr>
          <w:rFonts w:eastAsia="Cambria"/>
          <w:b w:val="0"/>
          <w:iCs/>
        </w:rPr>
        <w:t xml:space="preserve">. </w:t>
      </w:r>
    </w:p>
    <w:p w:rsidR="00D27CA3" w:rsidRPr="00D27CA3" w:rsidRDefault="00D27CA3" w:rsidP="00D27CA3">
      <w:pPr>
        <w:pStyle w:val="Heading1"/>
        <w:spacing w:before="0"/>
        <w:jc w:val="both"/>
        <w:rPr>
          <w:rFonts w:eastAsia="Cambria"/>
          <w:b w:val="0"/>
          <w:iCs/>
        </w:rPr>
      </w:pPr>
      <w:r w:rsidRPr="00D27CA3">
        <w:rPr>
          <w:rFonts w:eastAsia="Cambria"/>
          <w:b w:val="0"/>
          <w:iCs/>
        </w:rPr>
        <w:t xml:space="preserve">In the context of STKIP Pasundan, teaching students about their rights and obligations as good citizens during the Covid-19 pandemic </w:t>
      </w:r>
      <w:proofErr w:type="gramStart"/>
      <w:r w:rsidRPr="00D27CA3">
        <w:rPr>
          <w:rFonts w:eastAsia="Cambria"/>
          <w:b w:val="0"/>
          <w:iCs/>
        </w:rPr>
        <w:t>was seen</w:t>
      </w:r>
      <w:proofErr w:type="gramEnd"/>
      <w:r w:rsidRPr="00D27CA3">
        <w:rPr>
          <w:rFonts w:eastAsia="Cambria"/>
          <w:b w:val="0"/>
          <w:iCs/>
        </w:rPr>
        <w:t xml:space="preserve"> as a strategy to emphasize their role in providing </w:t>
      </w:r>
      <w:r w:rsidRPr="00D27CA3">
        <w:rPr>
          <w:rFonts w:eastAsia="Cambria"/>
          <w:b w:val="0"/>
          <w:iCs/>
          <w:lang w:val="id-ID"/>
        </w:rPr>
        <w:t>the concept of the state of law through student</w:t>
      </w:r>
      <w:r w:rsidRPr="00D27CA3">
        <w:rPr>
          <w:rFonts w:eastAsia="Cambria"/>
          <w:b w:val="0"/>
          <w:iCs/>
        </w:rPr>
        <w:t>s’</w:t>
      </w:r>
      <w:r w:rsidRPr="00D27CA3">
        <w:rPr>
          <w:rFonts w:eastAsia="Cambria"/>
          <w:b w:val="0"/>
          <w:iCs/>
          <w:lang w:val="id-ID"/>
        </w:rPr>
        <w:t xml:space="preserve"> campus activity program. </w:t>
      </w:r>
      <w:r w:rsidRPr="00D27CA3">
        <w:rPr>
          <w:rFonts w:eastAsia="Cambria"/>
          <w:b w:val="0"/>
          <w:iCs/>
        </w:rPr>
        <w:t>I</w:t>
      </w:r>
      <w:r w:rsidRPr="00D27CA3">
        <w:rPr>
          <w:rFonts w:eastAsia="Cambria"/>
          <w:b w:val="0"/>
          <w:iCs/>
          <w:lang w:val="id-ID"/>
        </w:rPr>
        <w:t>n socio</w:t>
      </w:r>
      <w:r w:rsidRPr="00D27CA3">
        <w:rPr>
          <w:rFonts w:eastAsia="Cambria"/>
          <w:b w:val="0"/>
          <w:iCs/>
        </w:rPr>
        <w:t>-</w:t>
      </w:r>
      <w:r w:rsidRPr="00D27CA3">
        <w:rPr>
          <w:rFonts w:eastAsia="Cambria"/>
          <w:b w:val="0"/>
          <w:iCs/>
          <w:lang w:val="id-ID"/>
        </w:rPr>
        <w:t>cultural context, technological developments and digital culture cannot be separated one another</w:t>
      </w:r>
      <w:r w:rsidRPr="00D27CA3">
        <w:rPr>
          <w:b w:val="0"/>
        </w:rPr>
        <w:fldChar w:fldCharType="begin"/>
      </w:r>
      <w:r w:rsidRPr="00D27CA3">
        <w:rPr>
          <w:b w:val="0"/>
        </w:rPr>
        <w:instrText>ADDIN CSL_CITATION {"citationItems":[{"id":"ITEM-1","itemData":{"DOI":"10.1177/0163443717709441","ISSN":"0163-4437","abstract":"This article is to document digital Korea. It discusses the sociocultural contexts of the growth of digital technologies and culture because the current boom of digital technologies and culture cannot be separated from each other. Although it cannot go back several decades, it starts to address some early developments of the Internet directly influencing the contemporary Korean society. This historicization process allows us to firmly comprehend several key developments, in particular, the major reasons for development and the implications of the digital Korean phenomenon. While there are several digital technologies, it analyzes a few major digital technologies, such as the Internet, broadband services, and smartphone technologies, as well as relevant digital culture, from three different lens, including information and communication technology policies, corporate competition, and cultural perspectives.","author":[{"dropping-particle":"","family":"Jin","given":"Dal Yong","non-dropping-particle":"","parse-names":false,"suffix":""}],"container-title":"Media, Culture &amp; Society","id":"ITEM-1","issue":"5","issued":{"date-parts":[["2017","6","8"]]},"note":"doi: 10.1177/0163443717709441","page":"715-726","publisher":"SAGE Publications Ltd","title":"Construction of digital Korea: the evolution of new communication technologies in the 21st century","type":"article-journal","volume":"39"},"uris":["http://www.mendeley.com/documents/?uuid=64076b75-3030-4bef-93f1-53fcdcd7ba72"]}],"mendeley":{"formattedCitation":"(Jin, 2017)","plainTextFormattedCitation":"(Jin, 2017)","previouslyFormattedCitation":"(Jin, 2017)"},"properties":{"noteIndex":0},"schema":"https://github.com/citation-style-language/schema/raw/master/csl-citation.json"}</w:instrText>
      </w:r>
      <w:r w:rsidRPr="00D27CA3">
        <w:rPr>
          <w:rFonts w:eastAsia="Cambria"/>
          <w:b w:val="0"/>
          <w:iCs/>
          <w:lang w:val="id-ID"/>
        </w:rPr>
        <w:fldChar w:fldCharType="separate"/>
      </w:r>
      <w:r w:rsidRPr="00D27CA3">
        <w:rPr>
          <w:rFonts w:eastAsia="Cambria"/>
          <w:b w:val="0"/>
          <w:iCs/>
        </w:rPr>
        <w:t>(</w:t>
      </w:r>
      <w:bookmarkStart w:id="18" w:name="__Fieldmark__5_415532779"/>
      <w:r w:rsidRPr="00D27CA3">
        <w:rPr>
          <w:rFonts w:eastAsia="Cambria"/>
          <w:b w:val="0"/>
          <w:iCs/>
        </w:rPr>
        <w:t>Jin, 2017)</w:t>
      </w:r>
      <w:r w:rsidRPr="00D27CA3">
        <w:rPr>
          <w:rFonts w:eastAsia="Cambria"/>
          <w:b w:val="0"/>
          <w:iCs/>
          <w:lang w:val="id-ID"/>
        </w:rPr>
        <w:fldChar w:fldCharType="end"/>
      </w:r>
      <w:bookmarkEnd w:id="18"/>
      <w:r w:rsidRPr="00D27CA3">
        <w:rPr>
          <w:rFonts w:eastAsia="Cambria"/>
          <w:b w:val="0"/>
          <w:iCs/>
        </w:rPr>
        <w:t>. Therefore, to emphasize the role of the campus, the STKIP Pasundan has provided a student activity unit that can be used as learning medium for students to understand the concept of the rule of law.</w:t>
      </w:r>
    </w:p>
    <w:p w:rsidR="00D27CA3" w:rsidRPr="00923760" w:rsidRDefault="00D27CA3" w:rsidP="00D27CA3">
      <w:pPr>
        <w:spacing w:before="100" w:after="100"/>
        <w:ind w:firstLine="720"/>
        <w:jc w:val="center"/>
        <w:rPr>
          <w:rFonts w:eastAsia="Cambria"/>
          <w:iCs/>
          <w:sz w:val="24"/>
          <w:szCs w:val="24"/>
        </w:rPr>
      </w:pPr>
      <w:r w:rsidRPr="00E83ABE">
        <w:rPr>
          <w:rFonts w:eastAsia="Cambria"/>
          <w:noProof/>
          <w:color w:val="363435"/>
          <w:sz w:val="24"/>
          <w:szCs w:val="24"/>
        </w:rPr>
        <w:lastRenderedPageBreak/>
        <w:drawing>
          <wp:inline distT="0" distB="0" distL="0" distR="0">
            <wp:extent cx="2486025" cy="3333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86025" cy="3333750"/>
                    </a:xfrm>
                    <a:prstGeom prst="rect">
                      <a:avLst/>
                    </a:prstGeom>
                    <a:noFill/>
                    <a:ln>
                      <a:noFill/>
                    </a:ln>
                  </pic:spPr>
                </pic:pic>
              </a:graphicData>
            </a:graphic>
          </wp:inline>
        </w:drawing>
      </w:r>
    </w:p>
    <w:p w:rsidR="00D27CA3" w:rsidRDefault="00D27CA3" w:rsidP="00D27CA3">
      <w:pPr>
        <w:spacing w:before="50"/>
        <w:jc w:val="center"/>
        <w:rPr>
          <w:rFonts w:eastAsia="Cambria"/>
          <w:iCs/>
        </w:rPr>
      </w:pPr>
      <w:r w:rsidRPr="00D27CA3">
        <w:rPr>
          <w:rFonts w:eastAsia="Cambria"/>
          <w:bCs/>
          <w:iCs/>
        </w:rPr>
        <w:t>Figure 3.</w:t>
      </w:r>
      <w:r w:rsidRPr="00D27CA3">
        <w:rPr>
          <w:rFonts w:eastAsia="Cambria"/>
          <w:iCs/>
        </w:rPr>
        <w:t xml:space="preserve"> Activities of Students at UKM UTRECHT SKIP Pasundan Cimahi </w:t>
      </w:r>
    </w:p>
    <w:p w:rsidR="00D27CA3" w:rsidRPr="00D27CA3" w:rsidRDefault="00D27CA3" w:rsidP="00D27CA3">
      <w:pPr>
        <w:spacing w:before="50"/>
        <w:jc w:val="center"/>
        <w:rPr>
          <w:rFonts w:eastAsia="Cambria"/>
          <w:iCs/>
        </w:rPr>
      </w:pPr>
      <w:r w:rsidRPr="00D27CA3">
        <w:rPr>
          <w:rFonts w:eastAsia="Cambria"/>
          <w:iCs/>
        </w:rPr>
        <w:t>Regarding Legal Awareness during the Covid-19 Pandemic</w:t>
      </w:r>
    </w:p>
    <w:p w:rsidR="00D27CA3" w:rsidRPr="00D27CA3" w:rsidRDefault="00D27CA3" w:rsidP="00D27CA3">
      <w:pPr>
        <w:spacing w:before="50"/>
        <w:jc w:val="center"/>
        <w:rPr>
          <w:rFonts w:eastAsia="Cambria"/>
          <w:iCs/>
        </w:rPr>
      </w:pPr>
      <w:r w:rsidRPr="00D27CA3">
        <w:rPr>
          <w:rFonts w:eastAsia="Cambria"/>
          <w:iCs/>
        </w:rPr>
        <w:t xml:space="preserve">Source: Instagram UKM UTRECHT </w:t>
      </w:r>
    </w:p>
    <w:p w:rsidR="00D27CA3" w:rsidRPr="00D27CA3" w:rsidRDefault="00D27CA3" w:rsidP="00D27CA3">
      <w:pPr>
        <w:spacing w:before="50"/>
        <w:ind w:left="426"/>
        <w:jc w:val="both"/>
        <w:rPr>
          <w:rFonts w:eastAsia="Cambria"/>
          <w:iCs/>
        </w:rPr>
      </w:pPr>
      <w:r w:rsidRPr="00D27CA3">
        <w:rPr>
          <w:rFonts w:eastAsia="Cambria"/>
          <w:iCs/>
        </w:rPr>
        <w:t>Another results obtained from the interview was that the optimization of communication technology as a vehicle for education at STKIP Pasundan also had a global nuance that the concept of an opened society within the framework of an interdependent global conglomerate of nations, has created new challenges that can only be resolved in a global context</w:t>
      </w:r>
      <w:r w:rsidRPr="00D27CA3">
        <w:t xml:space="preserve"> </w:t>
      </w:r>
      <w:r w:rsidRPr="00D27CA3">
        <w:fldChar w:fldCharType="begin"/>
      </w:r>
      <w:r w:rsidRPr="00D27CA3">
        <w:instrText>ADDIN CSL_CITATION {"citationItems":[{"id":"ITEM-1","itemData":{"DOI":"10.1177/17480485020640050301","ISSN":"0016-5492","abstract":"The terrorist attack against the United States presented the global community with a new crisis of gigantic proportions, with a new threat to the open society and human civilization. Sir Karl Popper developed the concept of the `open society' after the defeat of Fascist totalitarianism. Mikhail Gorbachev's concept of glasnost has became a major factor in the defeat of one of the main enemies of the open society ? Stalinist totalitarianism and authoritarianism at the end of the 20th century. Now it is the turn to fight terrorism, extremism, fanaticism, intolerance, fundamentalism and totalitarianism in the framework of a global, interdependent conglomerate of nations. And this poses new challenges to the open society, which can be solved only in a global context.","author":[{"dropping-particle":"","family":"Zassoursky","given":"Yassen N","non-dropping-particle":"","parse-names":false,"suffix":""}],"container-title":"Gazette (Leiden, Netherlands)","id":"ITEM-1","issue":"5","issued":{"date-parts":[["2002","10","1"]]},"note":"doi: 10.1177/17480485020640050301","page":"425-432","publisher":"SAGE Publications","title":"Media and Communications as the Vehicle of the Open Society: The Internet and the Global Society","type":"article-journal","volume":"64"},"suppress-author":1,"uris":["http://www.mendeley.com/documents/?uuid=66c8a84c-bfc8-44d9-b964-4f4b5f0ac952"]}],"mendeley":{"formattedCitation":"(2002)","plainTextFormattedCitation":"(2002)","previouslyFormattedCitation":"(2002)"},"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19" w:name="__Fieldmark__6_415532779"/>
      <w:r w:rsidRPr="00D27CA3">
        <w:rPr>
          <w:rFonts w:eastAsia="Cambria"/>
          <w:iCs/>
        </w:rPr>
        <w:t>Zassoursk, 2002)</w:t>
      </w:r>
      <w:r w:rsidRPr="00D27CA3">
        <w:rPr>
          <w:rFonts w:eastAsia="Cambria"/>
          <w:iCs/>
        </w:rPr>
        <w:fldChar w:fldCharType="end"/>
      </w:r>
      <w:bookmarkEnd w:id="19"/>
      <w:r w:rsidRPr="00D27CA3">
        <w:rPr>
          <w:rFonts w:eastAsia="Cambria"/>
          <w:iCs/>
        </w:rPr>
        <w:t xml:space="preserve">. </w:t>
      </w:r>
    </w:p>
    <w:p w:rsidR="00D27CA3" w:rsidRPr="00D27CA3" w:rsidRDefault="00D27CA3" w:rsidP="00D27CA3">
      <w:pPr>
        <w:spacing w:before="50"/>
        <w:ind w:left="426"/>
        <w:jc w:val="both"/>
        <w:rPr>
          <w:rFonts w:eastAsia="Cambria"/>
          <w:iCs/>
        </w:rPr>
      </w:pPr>
      <w:r w:rsidRPr="00D27CA3">
        <w:rPr>
          <w:rFonts w:eastAsia="Cambria"/>
          <w:iCs/>
        </w:rPr>
        <w:t xml:space="preserve">The theoretical perspective holds that knowledge transfer may not represent the best choice of workers due to some concerns about losing knowledge suitability </w:t>
      </w:r>
      <w:r w:rsidRPr="00D27CA3">
        <w:fldChar w:fldCharType="begin"/>
      </w:r>
      <w:r w:rsidRPr="00D27CA3">
        <w:instrText>ADDIN CSL_CITATION {"citationItems":[{"id":"ITEM-1","itemData":{"DOI":"10.1177/2319510X14523103","ISSN":"2319-510X","abstract":"This article presents a communication-appropriation perspective for examining knowledge transfer behaviours of workers. The proposed theoretical perspective is stemmed from the knowledge-as-power phenomenon and the knowledge transfer dilemma of workers, which argue that knowledge transfer may not represent the best option of workers due to the worries of losing knowledge appropriability and organisational power. Based on such psychological tension of workers, the communication-appropriation perspective advocates that workers may manipulate the mode of communication (codification and personalisation) in the knowledge transfer process as a responsive strategy to their appropriation threats so as to result in an incomplete transfer of knowledge. The present work differs from past research in its emphasis on the workers? perspective of knowledge transfer management which has been relatively under-researched as compared to the organisation?s. The developed theoretical perspective is able to enhance our understanding of the influences of power struggles and appropriation concerns on the knowledge transfer behaviours and strategies of workers.","author":[{"dropping-particle":"","family":"Law","given":"Kuok Kei","non-dropping-particle":"","parse-names":false,"suffix":""}],"container-title":"Asia-Pacific Journal of Management Research and Innovation","id":"ITEM-1","issue":"4","issued":{"date-parts":[["2013","12","1"]]},"note":"doi: 10.1177/2319510X14523103","page":"359-367","publisher":"SAGE Publications India","title":"Managing Knowledge Transfer—A Communication-appropriation Perspective","type":"article-journal","volume":"9"},"uris":["http://www.mendeley.com/documents/?uuid=837a2749-7976-4eff-a128-cf87340f733e"]}],"mendeley":{"formattedCitation":"(Law, 2013)","plainTextFormattedCitation":"(Law, 2013)","previouslyFormattedCitation":"(Law, 2013)"},"properties":{"noteIndex":0},"schema":"https://github.com/citation-style-language/schema/raw/master/csl-citation.json"}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0" w:name="__Fieldmark__7_415532779"/>
      <w:r w:rsidRPr="00D27CA3">
        <w:rPr>
          <w:rFonts w:eastAsia="Cambria"/>
          <w:iCs/>
        </w:rPr>
        <w:t>Law, 2013)</w:t>
      </w:r>
      <w:r w:rsidRPr="00D27CA3">
        <w:rPr>
          <w:rFonts w:eastAsia="Cambria"/>
          <w:iCs/>
        </w:rPr>
        <w:fldChar w:fldCharType="end"/>
      </w:r>
      <w:bookmarkEnd w:id="20"/>
      <w:r w:rsidRPr="00D27CA3">
        <w:rPr>
          <w:rFonts w:eastAsia="Cambria"/>
          <w:iCs/>
        </w:rPr>
        <w:t xml:space="preserve">. Therefore, education in the concept of rule of law at STKIP Pasundan </w:t>
      </w:r>
      <w:proofErr w:type="gramStart"/>
      <w:r w:rsidRPr="00D27CA3">
        <w:rPr>
          <w:rFonts w:eastAsia="Cambria"/>
          <w:iCs/>
        </w:rPr>
        <w:t>is also strengthened</w:t>
      </w:r>
      <w:proofErr w:type="gramEnd"/>
      <w:r w:rsidRPr="00D27CA3">
        <w:rPr>
          <w:rFonts w:eastAsia="Cambria"/>
          <w:iCs/>
        </w:rPr>
        <w:t xml:space="preserve"> by the provision of Citizenship Education course to reinforce the concept of a rule of law for students.</w:t>
      </w:r>
    </w:p>
    <w:p w:rsidR="00D27CA3" w:rsidRPr="00D27CA3" w:rsidRDefault="00D27CA3" w:rsidP="00D27CA3">
      <w:pPr>
        <w:spacing w:before="50"/>
        <w:ind w:left="426"/>
        <w:jc w:val="both"/>
        <w:rPr>
          <w:rFonts w:eastAsia="Cambria"/>
          <w:iCs/>
        </w:rPr>
      </w:pPr>
      <w:r w:rsidRPr="00D27CA3">
        <w:rPr>
          <w:rFonts w:eastAsia="Cambria"/>
          <w:iCs/>
        </w:rPr>
        <w:t xml:space="preserve">The presented hardware and software platforms has enabled smart technology design </w:t>
      </w:r>
      <w:r w:rsidRPr="00D27CA3">
        <w:fldChar w:fldCharType="begin"/>
      </w:r>
      <w:r w:rsidRPr="00D27CA3">
        <w:instrText>ADDIN CSL_CITATION {"citationItems":[{"id":"ITEM-1","itemData":{"DOI":"10.1177/1558925019845903","ISSN":"1558-9250","abstract":"A hardware and software platform is presented enabling the design, and realisation via printing, of smart fabrics. The cultural and creative industries are an important economic area within which designers frequently utilise fabrics. Smart fabrics offer further creative opportunities to the cultural and creative industries, but designers often lack the required specialist knowledge, in electronics, software and materials, to produce smart fabrics. The software platform offers the ability to perform design, layout and visualisation of a smart fabric using a library of standard smart fabric functions (e.g. electroluminescence) so specialist expertise is not needed. Operation of the smart fabric can be simulated, and parameters can be set for smart fabric control electronics, which consists of standard circuit board modules. The software also provides driver code for the hardware platform to print the smart fabric. The hardware platform consists of a bespoke dispenser printer; functional inks are deposited via a pneumatic syringe controlled by the driver software, allowing bespoke rapid prototyped smart fabrics to be printed. Operation of the software and hardware system is demonstrated by the realisation of an interactive smart fabric consisting of electroluminescent lamps controlled by a proximity sensor. The modular electronics are used to control the smart fabric operation using embedded code generated by the software platform. For example, the blink rate of the electroluminescent lamp can be adjusted by the proximity of a hand. This control is achieved by the use of intuitive drop-down menus and input/output selections by the creative user. At present, the platform allows the design, print and implementation of smart fabrics incorporating the functions of colour change, electroluminescence, sound emission and proximity sensing. The platform can be expanded to add additional functions in the future and the printer will be compatible with new inks developed for screen and inkjet printing.","author":[{"dropping-particle":"","family":"Torah","given":"Russel","non-dropping-particle":"","parse-names":false,"suffix":""},{"dropping-particle":"","family":"Wei","given":"Yang","non-dropping-particle":"","parse-names":false,"suffix":""},{"dropping-particle":"","family":"Grabham","given":"Neil","non-dropping-particle":"","parse-names":false,"suffix":""},{"dropping-particle":"","family":"Li","given":"Yi","non-dropping-particle":"","parse-names":false,"suffix":""},{"dropping-particle":"","family":"Vos","given":"Marc","non-dropping-particle":"de","parse-names":false,"suffix":""},{"dropping-particle":"","family":"Todorov","given":"Todor","non-dropping-particle":"","parse-names":false,"suffix":""},{"dropping-particle":"","family":"Popov","given":"Boris","non-dropping-particle":"","parse-names":false,"suffix":""},{"dropping-particle":"","family":"Marinov","given":"Vlad","non-dropping-particle":"","parse-names":false,"suffix":""},{"dropping-particle":"","family":"Stoyanov","given":"Svetlozar","non-dropping-particle":"","parse-names":false,"suffix":""},{"dropping-particle":"","family":"Todorov","given":"Vlad","non-dropping-particle":"","parse-names":false,"suffix":""},{"dropping-particle":"","family":"Tudor","given":"John","non-dropping-particle":"","parse-names":false,"suffix":""}],"container-title":"Journal of Engineered Fibers and Fabrics","id":"ITEM-1","issued":{"date-parts":[["2019","1","1"]]},"note":"doi: 10.1177/1558925019845903","page":"1558925019845903","publisher":"SAGE Publications Ltd STM","title":"Enabling platform technology for smart fabric design and printing","type":"article-journal","volume":"14"},"uris":["http://www.mendeley.com/documents/?uuid=ec6c0959-3391-440b-b322-d332b78d4812"]}],"mendeley":{"formattedCitation":"(Torah et al., 2019)","plainTextFormattedCitation":"(Torah et al., 2019)","previouslyFormattedCitation":"(Torah et al., 2019)"},"properties":{"noteIndex":0},"schema":"https://github.com/citation-style-language/schema/raw/master/csl-citation.json"}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1" w:name="__Fieldmark__8_415532779"/>
      <w:r w:rsidRPr="00D27CA3">
        <w:rPr>
          <w:rFonts w:eastAsia="Cambria"/>
          <w:iCs/>
        </w:rPr>
        <w:t>Torah et al., 2019)</w:t>
      </w:r>
      <w:r w:rsidRPr="00D27CA3">
        <w:rPr>
          <w:rFonts w:eastAsia="Cambria"/>
          <w:iCs/>
        </w:rPr>
        <w:fldChar w:fldCharType="end"/>
      </w:r>
      <w:bookmarkEnd w:id="21"/>
      <w:r w:rsidRPr="00D27CA3">
        <w:rPr>
          <w:rFonts w:eastAsia="Cambria"/>
          <w:iCs/>
        </w:rPr>
        <w:t xml:space="preserve">. For students, optimizing communication technology in the subject of the rule of law concept is to prevent them from misunderstanding the concept of the legal state in general and in the context of STKIP Pasundan. </w:t>
      </w:r>
    </w:p>
    <w:p w:rsidR="00D27CA3" w:rsidRPr="00923760" w:rsidRDefault="00D27CA3" w:rsidP="00D27CA3">
      <w:pPr>
        <w:spacing w:before="50"/>
        <w:ind w:firstLine="720"/>
        <w:jc w:val="center"/>
        <w:rPr>
          <w:rFonts w:eastAsia="Cambria"/>
          <w:iCs/>
          <w:sz w:val="24"/>
          <w:szCs w:val="24"/>
        </w:rPr>
      </w:pPr>
      <w:r w:rsidRPr="00E83ABE">
        <w:rPr>
          <w:rFonts w:eastAsia="Cambria"/>
          <w:noProof/>
          <w:color w:val="363435"/>
          <w:sz w:val="24"/>
          <w:szCs w:val="24"/>
        </w:rPr>
        <w:drawing>
          <wp:inline distT="0" distB="0" distL="0" distR="0">
            <wp:extent cx="3714750" cy="2514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14750" cy="2514600"/>
                    </a:xfrm>
                    <a:prstGeom prst="rect">
                      <a:avLst/>
                    </a:prstGeom>
                    <a:noFill/>
                    <a:ln>
                      <a:noFill/>
                    </a:ln>
                  </pic:spPr>
                </pic:pic>
              </a:graphicData>
            </a:graphic>
          </wp:inline>
        </w:drawing>
      </w:r>
    </w:p>
    <w:p w:rsidR="00D27CA3" w:rsidRPr="00D27CA3" w:rsidRDefault="00D27CA3" w:rsidP="00D27CA3">
      <w:pPr>
        <w:spacing w:before="50"/>
        <w:jc w:val="center"/>
        <w:rPr>
          <w:rFonts w:eastAsia="Cambria"/>
          <w:iCs/>
        </w:rPr>
      </w:pPr>
      <w:r w:rsidRPr="00D27CA3">
        <w:rPr>
          <w:rFonts w:eastAsia="Cambria"/>
          <w:bCs/>
          <w:iCs/>
        </w:rPr>
        <w:t>Figure 4.</w:t>
      </w:r>
      <w:r w:rsidRPr="00D27CA3">
        <w:rPr>
          <w:rFonts w:eastAsia="Cambria"/>
          <w:iCs/>
        </w:rPr>
        <w:t xml:space="preserve"> Activities of Students at UKM UTRECHT STKIP Pasundan Cimahi</w:t>
      </w:r>
    </w:p>
    <w:p w:rsidR="00D27CA3" w:rsidRPr="00D27CA3" w:rsidRDefault="00D27CA3" w:rsidP="00D27CA3">
      <w:pPr>
        <w:spacing w:before="50"/>
        <w:jc w:val="center"/>
        <w:rPr>
          <w:rFonts w:eastAsia="Cambria"/>
          <w:iCs/>
        </w:rPr>
      </w:pPr>
      <w:r w:rsidRPr="00D27CA3">
        <w:rPr>
          <w:rFonts w:eastAsia="Cambria"/>
          <w:iCs/>
        </w:rPr>
        <w:t>Source: Instagram UKM UTRECHT</w:t>
      </w:r>
    </w:p>
    <w:p w:rsidR="00D27CA3" w:rsidRPr="00D27CA3" w:rsidRDefault="00D27CA3" w:rsidP="00D27CA3">
      <w:pPr>
        <w:spacing w:before="50"/>
        <w:ind w:left="426"/>
        <w:jc w:val="both"/>
        <w:rPr>
          <w:rFonts w:eastAsia="Cambria"/>
          <w:iCs/>
        </w:rPr>
      </w:pPr>
      <w:proofErr w:type="gramStart"/>
      <w:r w:rsidRPr="00D27CA3">
        <w:rPr>
          <w:rFonts w:eastAsia="Cambria"/>
          <w:iCs/>
        </w:rPr>
        <w:t>Based on the results of interview with informants, the optimization of communication technology as a vehicle for education in the concept of the rule of law in the academic community during the Covid-19 pandemic at STKIP Pasundan was considered as a way out in facing educational obstacles</w:t>
      </w:r>
      <w:r w:rsidRPr="00D27CA3">
        <w:t xml:space="preserve"> </w:t>
      </w:r>
      <w:r w:rsidRPr="00D27CA3">
        <w:rPr>
          <w:rFonts w:eastAsia="Cambria"/>
          <w:iCs/>
          <w:lang w:val="id-ID"/>
        </w:rPr>
        <w:t xml:space="preserve">The concept of a rule of law during </w:t>
      </w:r>
      <w:r w:rsidRPr="00D27CA3">
        <w:rPr>
          <w:rFonts w:eastAsia="Cambria"/>
          <w:iCs/>
        </w:rPr>
        <w:t xml:space="preserve">the </w:t>
      </w:r>
      <w:r w:rsidRPr="00D27CA3">
        <w:rPr>
          <w:rFonts w:eastAsia="Cambria"/>
          <w:iCs/>
          <w:lang w:val="id-ID"/>
        </w:rPr>
        <w:t xml:space="preserve">pandemic </w:t>
      </w:r>
      <w:r w:rsidRPr="00D27CA3">
        <w:rPr>
          <w:rFonts w:eastAsia="Cambria"/>
          <w:iCs/>
        </w:rPr>
        <w:t>was</w:t>
      </w:r>
      <w:r w:rsidRPr="00D27CA3">
        <w:rPr>
          <w:rFonts w:eastAsia="Cambria"/>
          <w:iCs/>
          <w:lang w:val="id-ID"/>
        </w:rPr>
        <w:t xml:space="preserve"> to improve the quality of programs during learning</w:t>
      </w:r>
      <w:r w:rsidRPr="00D27CA3">
        <w:rPr>
          <w:rFonts w:eastAsia="Cambria"/>
          <w:iCs/>
        </w:rPr>
        <w:t xml:space="preserve"> process</w:t>
      </w:r>
      <w:r w:rsidRPr="00D27CA3">
        <w:rPr>
          <w:rFonts w:eastAsia="Cambria"/>
          <w:iCs/>
          <w:lang w:val="id-ID"/>
        </w:rPr>
        <w:t>.</w:t>
      </w:r>
      <w:proofErr w:type="gramEnd"/>
      <w:r w:rsidRPr="00D27CA3">
        <w:rPr>
          <w:rFonts w:eastAsia="Cambria"/>
          <w:iCs/>
          <w:lang w:val="id-ID"/>
        </w:rPr>
        <w:t xml:space="preserve"> The </w:t>
      </w:r>
      <w:r w:rsidRPr="00D27CA3">
        <w:rPr>
          <w:rFonts w:eastAsia="Cambria"/>
          <w:iCs/>
          <w:lang w:val="id-ID"/>
        </w:rPr>
        <w:lastRenderedPageBreak/>
        <w:t>benevolence of the rule of law is expected from judicial decision makers to enter administrative, executive decision-making</w:t>
      </w:r>
      <w:r w:rsidRPr="00D27CA3">
        <w:rPr>
          <w:rFonts w:eastAsia="Cambria"/>
          <w:iCs/>
        </w:rPr>
        <w:t xml:space="preserve"> party, </w:t>
      </w:r>
      <w:r w:rsidRPr="00D27CA3">
        <w:rPr>
          <w:rFonts w:eastAsia="Cambria"/>
          <w:iCs/>
          <w:lang w:val="id-ID"/>
        </w:rPr>
        <w:t xml:space="preserve">and to advance rule of law projects </w:t>
      </w:r>
      <w:r w:rsidRPr="00D27CA3">
        <w:fldChar w:fldCharType="begin"/>
      </w:r>
      <w:r w:rsidRPr="00D27CA3">
        <w:instrText>ADDIN CSL_CITATION {"citationItems":[{"id":"ITEM-1","itemData":{"DOI":"10.1177/1037969X19829850","ISSN":"1037-969X","abstract":"This article summarises Professor Martin Krygier's work on the rule of law and his view that arbitrariness is its core and is under-theorised. From ancient philosophy, the author suggests that our rule of law settlement feels tentative because arbitrariness is a human characteristic that cannot be completely fixed with institutional checks and balances. The author observes that a variety of rule of law virtues are already expected of judicial decision-makers and suggests that these institutional virtues should be transferred into the administrative, executive and corporate decision-making space to advance the rule of law project.","author":[{"dropping-particle":"","family":"Thompson","given":"Keith","non-dropping-particle":"","parse-names":false,"suffix":""}],"container-title":"Alternative Law Journal","id":"ITEM-1","issue":"2","issued":{"date-parts":[["2019","2","8"]]},"note":"doi: 10.1177/1037969X19829850","page":"159-163","publisher":"SAGE Publications Ltd","title":"The rule of law, arbitrariness and institutional virtue","type":"article-journal","volume":"44"},"uris":["http://www.mendeley.com/documents/?uuid=6f7be5a9-813e-4b07-8571-2029d7af8e1b"]}],"mendeley":{"formattedCitation":"(Thompson, 2019)","plainTextFormattedCitation":"(Thompson, 2019)","previouslyFormattedCitation":"(Thompson, 2019)"},"properties":{"noteIndex":0},"schema":"https://github.com/citation-style-language/schema/raw/master/csl-citation.json"}</w:instrText>
      </w:r>
      <w:r w:rsidRPr="00D27CA3">
        <w:rPr>
          <w:rFonts w:eastAsia="Cambria"/>
          <w:iCs/>
          <w:lang w:val="id-ID"/>
        </w:rPr>
        <w:fldChar w:fldCharType="separate"/>
      </w:r>
      <w:r w:rsidRPr="00D27CA3">
        <w:rPr>
          <w:rFonts w:eastAsia="Cambria"/>
          <w:iCs/>
        </w:rPr>
        <w:t>(</w:t>
      </w:r>
      <w:bookmarkStart w:id="22" w:name="__Fieldmark__9_415532779"/>
      <w:r w:rsidRPr="00D27CA3">
        <w:rPr>
          <w:rFonts w:eastAsia="Cambria"/>
          <w:iCs/>
        </w:rPr>
        <w:t>Thompson, 2019)</w:t>
      </w:r>
      <w:r w:rsidRPr="00D27CA3">
        <w:rPr>
          <w:rFonts w:eastAsia="Cambria"/>
          <w:iCs/>
          <w:lang w:val="id-ID"/>
        </w:rPr>
        <w:fldChar w:fldCharType="end"/>
      </w:r>
      <w:bookmarkEnd w:id="22"/>
      <w:r w:rsidRPr="00D27CA3">
        <w:rPr>
          <w:rFonts w:eastAsia="Cambria"/>
          <w:iCs/>
        </w:rPr>
        <w:t>.</w:t>
      </w:r>
    </w:p>
    <w:p w:rsidR="00D27CA3" w:rsidRDefault="00D27CA3" w:rsidP="00D27CA3">
      <w:pPr>
        <w:spacing w:before="50"/>
        <w:ind w:left="426"/>
        <w:jc w:val="both"/>
        <w:rPr>
          <w:rFonts w:eastAsia="Cambria"/>
          <w:iCs/>
        </w:rPr>
      </w:pPr>
      <w:r w:rsidRPr="00D27CA3">
        <w:rPr>
          <w:rFonts w:eastAsia="Cambria"/>
          <w:iCs/>
        </w:rPr>
        <w:t xml:space="preserve">In the future, the work environment is recommended to integrate each individual </w:t>
      </w:r>
      <w:r w:rsidRPr="00D27CA3">
        <w:fldChar w:fldCharType="begin"/>
      </w:r>
      <w:r w:rsidRPr="00D27CA3">
        <w:instrText>ADDIN CSL_CITATION {"citationItems":[{"id":"ITEM-1","itemData":{"DOI":"10.1177/154193120004400804","ISSN":"2169-5067","abstract":"A five-year design process of a continuous process wok has been studied with the aim of elucidating the conditions for integrating working environment aspects. The design process is seen as a network building activity and as a social shaping process of the artefact. A working environment log is suggested as a tool designers can use to integrate considerations of future operators' working environment.","author":[{"dropping-particle":"","family":"Broberg","given":"Ole","non-dropping-particle":"","parse-names":false,"suffix":""}],"container-title":"Proceedings of the Human Factors and Ergonomics Society Annual Meeting","id":"ITEM-1","issue":"8","issued":{"date-parts":[["2000","7","1"]]},"note":"doi: 10.1177/154193120004400804","page":"16-19","publisher":"SAGE Publications Inc","title":"Design of New Food Technology: Social Shaping of Working Environment","type":"article-journal","volume":"44"},"uris":["http://www.mendeley.com/documents/?uuid=7cb2a3d1-0b3f-4455-9f53-1b56a1218189"]}],"mendeley":{"formattedCitation":"(Broberg, 2000)","plainTextFormattedCitation":"(Broberg, 2000)","previouslyFormattedCitation":"(Broberg, 2000)"},"properties":{"noteIndex":0},"schema":"https://github.com/citation-style-language/schema/raw/master/csl-citation.json"}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3" w:name="__Fieldmark__10_415532779"/>
      <w:r w:rsidRPr="00D27CA3">
        <w:rPr>
          <w:rFonts w:eastAsia="Cambria"/>
          <w:iCs/>
        </w:rPr>
        <w:t>Broberg, 2000)</w:t>
      </w:r>
      <w:r w:rsidRPr="00D27CA3">
        <w:rPr>
          <w:rFonts w:eastAsia="Cambria"/>
          <w:iCs/>
        </w:rPr>
        <w:fldChar w:fldCharType="end"/>
      </w:r>
      <w:bookmarkEnd w:id="23"/>
      <w:r w:rsidRPr="00D27CA3">
        <w:rPr>
          <w:rFonts w:eastAsia="Cambria"/>
          <w:iCs/>
        </w:rPr>
        <w:t xml:space="preserve">. Therefore, the rule of law education concept at STKIP Pasundan was to prioritize their professionalism as prospective teachers of Pancasila and Citizenship Education (PPKn) in Indonesia. Integrating the work environment with technology for students at the institute </w:t>
      </w:r>
      <w:proofErr w:type="gramStart"/>
      <w:r w:rsidRPr="00D27CA3">
        <w:rPr>
          <w:rFonts w:eastAsia="Cambria"/>
          <w:iCs/>
        </w:rPr>
        <w:t>was implemented</w:t>
      </w:r>
      <w:proofErr w:type="gramEnd"/>
      <w:r w:rsidRPr="00D27CA3">
        <w:rPr>
          <w:rFonts w:eastAsia="Cambria"/>
          <w:iCs/>
        </w:rPr>
        <w:t xml:space="preserve"> to realize regular, conducive learning and achieve goals.</w:t>
      </w:r>
    </w:p>
    <w:p w:rsidR="00D27CA3" w:rsidRPr="00D27CA3" w:rsidRDefault="00D27CA3" w:rsidP="00D27CA3">
      <w:pPr>
        <w:spacing w:before="50"/>
        <w:ind w:left="426"/>
        <w:jc w:val="both"/>
        <w:rPr>
          <w:rFonts w:eastAsia="Cambria"/>
          <w:iCs/>
        </w:rPr>
      </w:pPr>
      <w:r w:rsidRPr="00D27CA3">
        <w:rPr>
          <w:rFonts w:eastAsia="Cambria"/>
          <w:iCs/>
        </w:rPr>
        <w:t xml:space="preserve">The optimization of communication technology as a vehicle for education in the concept of the rule of law in the academic community during the Covid-19 pandemic at STKIP Pasundan was a part of awakening students, so that they could </w:t>
      </w:r>
      <w:r w:rsidRPr="00D27CA3">
        <w:rPr>
          <w:lang w:val="en-ID"/>
        </w:rPr>
        <w:t xml:space="preserve">be aware of the effects of prevailing technology in their environment. Similar to this, </w:t>
      </w:r>
      <w:r w:rsidRPr="00D27CA3">
        <w:rPr>
          <w:rFonts w:eastAsia="Cambria"/>
          <w:iCs/>
        </w:rPr>
        <w:t xml:space="preserve">Saxena et al state </w:t>
      </w:r>
      <w:r w:rsidRPr="00D27CA3">
        <w:fldChar w:fldCharType="begin"/>
      </w:r>
      <w:r w:rsidRPr="00D27CA3">
        <w:instrText>ADDIN CSL_CITATION {"citationItems":[{"id":"ITEM-1","itemData":{"DOI":"10.1177/0047239520977798","ISSN":"0047-2395","abstract":"Technology has influenced every aspect of our living, and education is not an exception. During the current pandemic period of COVID-19, the latent motive of maintaining social distancing is leading to be one of the prime reasons for the students to get enrolled in online courses. Although the benefits of e-learning have been discussed in various previous studies, it is important to understand the quality of e-learning and the satisfaction level of learners during this forceful shift toward e-learning amid the pandemic of COVID-19. This research proposes a conceptual model for understanding the variables influencing e-learning quality (ELQ) and learner satisfaction under the moderating effect of maintaining social distancing. The model is empirically validated by means of the partial least square approach through structural equation modeling based on 435 responses of university students in India. The results suggest that assurance, reliability, responsiveness, and website content are the factors that influence the ELQ of the online courses during the pandemic. ELQ also strongly influences the learner?s satisfaction. Interestingly, perceived benefits of maintaining social distancing have a significant negative moderating effect only between empathy and ELQ, which leads to the satisfaction of the learners.","author":[{"dropping-particle":"","family":"Saxena","given":"Charu","non-dropping-particle":"","parse-names":false,"suffix":""},{"dropping-particle":"","family":"Baber","given":"Hasnan","non-dropping-particle":"","parse-names":false,"suffix":""},{"dropping-particle":"","family":"Kumar","given":"Pardeep","non-dropping-particle":"","parse-names":false,"suffix":""}],"container-title":"Journal of Educational Technology Systems","id":"ITEM-1","issued":{"date-parts":[["2020","12","7"]]},"note":"doi: 10.1177/0047239520977798","page":"0047239520977798","publisher":"SAGE Publications Inc","title":"Examining the Moderating Effect of Perceived Benefits of Maintaining Social Distance on E-learning Quality During COVID-19 Pandemic","type":"article-journal"},"suppress-author":1,"uris":["http://www.mendeley.com/documents/?uuid=bb2f5add-0966-48e2-868f-fd9eff0ac252"]}],"mendeley":{"formattedCitation":"(2020)","plainTextFormattedCitation":"(2020)","previouslyFormattedCitation":"(Saxena, Baber, &amp; Kumar, 2020)"},"properties":{"noteIndex":0},"schema":"https://github.com/citation-style-language/schema/raw/master/csl-citation.json"}</w:instrText>
      </w:r>
      <w:r w:rsidRPr="00D27CA3">
        <w:fldChar w:fldCharType="separate"/>
      </w:r>
      <w:r w:rsidRPr="00D27CA3">
        <w:rPr>
          <w:rFonts w:eastAsia="Cambria"/>
          <w:iCs/>
        </w:rPr>
        <w:t>(</w:t>
      </w:r>
      <w:bookmarkStart w:id="24" w:name="__Fieldmark__11_415532779"/>
      <w:r w:rsidRPr="00D27CA3">
        <w:rPr>
          <w:rFonts w:eastAsia="Cambria"/>
          <w:iCs/>
        </w:rPr>
        <w:t>2020)</w:t>
      </w:r>
      <w:r w:rsidRPr="00D27CA3">
        <w:rPr>
          <w:rFonts w:eastAsia="Cambria"/>
          <w:iCs/>
        </w:rPr>
        <w:fldChar w:fldCharType="end"/>
      </w:r>
      <w:bookmarkEnd w:id="24"/>
      <w:r w:rsidRPr="00D27CA3">
        <w:rPr>
          <w:rFonts w:eastAsia="Cambria"/>
          <w:iCs/>
        </w:rPr>
        <w:t xml:space="preserve"> that technology has influenced every aspect of human life. In this context, student awareness is processed and obtained from citizenship knowledge </w:t>
      </w:r>
      <w:r w:rsidRPr="00D27CA3">
        <w:fldChar w:fldCharType="begin"/>
      </w:r>
      <w:r w:rsidRPr="00D27CA3">
        <w:instrText>ADDIN CSL_CITATION {"citationItems":[{"id":"ITEM-1","itemData":{"author":[{"dropping-particle":"","family":"Trihastuti","given":"Meiwatizal","non-dropping-particle":"","parse-names":false,"suffix":""},{"dropping-particle":"","family":"Dewie","given":"Dinie Anggraeni","non-dropping-particle":"","parse-names":false,"suffix":""},{"dropping-particle":"","family":"Hidayah","given":"Yayuk","non-dropping-particle":"","parse-names":false,"suffix":""}],"container-title":"American Journal of Multidisciplinary Research &amp; Development (AJMRD)","id":"ITEM-1","issue":"9","issued":{"date-parts":[["2020"]]},"page":"09-15","title":"Increasing Students’ Entrepreneurship Awareness through Citizenship Knowledge (A Study on Students at STKIP Pasundan Cimahi)","type":"article-journal","volume":"2"},"uris":["http://www.mendeley.com/documents/?uuid=3bca0892-b0ef-4d8f-8f9d-b48194fb0187"]}],"mendeley":{"formattedCitation":"(Trihastuti, Dewie, &amp; Hidayah, 2020)","plainTextFormattedCitation":"(Trihastuti, Dewie, &amp; Hidayah, 2020)","previouslyFormattedCitation":"(Trihastuti, Dewie, &amp; Hidayah, 2020)"},"properties":{"noteIndex":0},"schema":"https://github.com/citation-style-language/schema/raw/master/csl-citation.json"}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5" w:name="__Fieldmark__12_415532779"/>
      <w:r w:rsidRPr="00D27CA3">
        <w:rPr>
          <w:rFonts w:eastAsia="Cambria"/>
          <w:iCs/>
        </w:rPr>
        <w:t>Trihastuti et al. 2020)</w:t>
      </w:r>
      <w:r w:rsidRPr="00D27CA3">
        <w:rPr>
          <w:rFonts w:eastAsia="Cambria"/>
          <w:iCs/>
        </w:rPr>
        <w:fldChar w:fldCharType="end"/>
      </w:r>
      <w:bookmarkEnd w:id="25"/>
      <w:r w:rsidRPr="00D27CA3">
        <w:rPr>
          <w:rFonts w:eastAsia="Cambria"/>
          <w:iCs/>
        </w:rPr>
        <w:t xml:space="preserve">. </w:t>
      </w:r>
      <w:r w:rsidRPr="00D27CA3">
        <w:rPr>
          <w:lang w:val="en-ID"/>
        </w:rPr>
        <w:t xml:space="preserve">Thus, it is clear that </w:t>
      </w:r>
      <w:r w:rsidRPr="00D27CA3">
        <w:rPr>
          <w:rFonts w:eastAsia="Cambria"/>
          <w:iCs/>
        </w:rPr>
        <w:t xml:space="preserve">students at STKIP Pasundan got any benefit from the optimization of communication technology in the concept of the rule of law for students, where they </w:t>
      </w:r>
      <w:r w:rsidRPr="00D27CA3">
        <w:rPr>
          <w:lang w:val="en-ID"/>
        </w:rPr>
        <w:t xml:space="preserve">must be able to obey any existing regulation.  </w:t>
      </w:r>
    </w:p>
    <w:p w:rsidR="00D27CA3" w:rsidRPr="00923760" w:rsidRDefault="00D27CA3" w:rsidP="00D27CA3">
      <w:pPr>
        <w:spacing w:before="50"/>
        <w:jc w:val="center"/>
        <w:rPr>
          <w:rFonts w:eastAsia="Cambria"/>
          <w:iCs/>
          <w:sz w:val="24"/>
          <w:szCs w:val="24"/>
        </w:rPr>
      </w:pPr>
      <w:r w:rsidRPr="00E83ABE">
        <w:rPr>
          <w:rFonts w:eastAsia="Cambria"/>
          <w:noProof/>
          <w:color w:val="363435"/>
          <w:sz w:val="24"/>
          <w:szCs w:val="24"/>
        </w:rPr>
        <w:drawing>
          <wp:inline distT="0" distB="0" distL="0" distR="0">
            <wp:extent cx="3476625" cy="2057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76625" cy="2057400"/>
                    </a:xfrm>
                    <a:prstGeom prst="rect">
                      <a:avLst/>
                    </a:prstGeom>
                    <a:noFill/>
                    <a:ln>
                      <a:noFill/>
                    </a:ln>
                  </pic:spPr>
                </pic:pic>
              </a:graphicData>
            </a:graphic>
          </wp:inline>
        </w:drawing>
      </w:r>
    </w:p>
    <w:p w:rsidR="00D27CA3" w:rsidRPr="00923760" w:rsidRDefault="00D27CA3" w:rsidP="00D27CA3">
      <w:pPr>
        <w:spacing w:before="50"/>
        <w:ind w:left="851"/>
        <w:jc w:val="center"/>
        <w:rPr>
          <w:rFonts w:eastAsia="Cambria"/>
          <w:iCs/>
          <w:sz w:val="24"/>
          <w:szCs w:val="24"/>
        </w:rPr>
      </w:pPr>
      <w:r w:rsidRPr="00D27CA3">
        <w:rPr>
          <w:rFonts w:eastAsia="Cambria"/>
          <w:bCs/>
          <w:iCs/>
        </w:rPr>
        <w:t>Figure 5.</w:t>
      </w:r>
      <w:r w:rsidRPr="00923760">
        <w:rPr>
          <w:rFonts w:eastAsia="Cambria"/>
          <w:iCs/>
          <w:sz w:val="24"/>
          <w:szCs w:val="24"/>
        </w:rPr>
        <w:t xml:space="preserve"> Online Learning through Zoom Meeting</w:t>
      </w:r>
    </w:p>
    <w:p w:rsidR="00D27CA3" w:rsidRPr="00923760" w:rsidRDefault="00D27CA3" w:rsidP="00D27CA3">
      <w:pPr>
        <w:spacing w:before="50"/>
        <w:ind w:left="851"/>
        <w:jc w:val="center"/>
        <w:rPr>
          <w:rFonts w:eastAsia="Cambria"/>
          <w:iCs/>
          <w:sz w:val="24"/>
          <w:szCs w:val="24"/>
        </w:rPr>
      </w:pPr>
    </w:p>
    <w:p w:rsidR="00D27CA3" w:rsidRDefault="00D27CA3" w:rsidP="00D27CA3">
      <w:pPr>
        <w:spacing w:before="50"/>
        <w:ind w:left="426"/>
        <w:jc w:val="both"/>
        <w:rPr>
          <w:rFonts w:eastAsia="Cambria"/>
          <w:iCs/>
        </w:rPr>
      </w:pPr>
      <w:r w:rsidRPr="00D27CA3">
        <w:rPr>
          <w:rFonts w:eastAsia="Cambria"/>
          <w:iCs/>
        </w:rPr>
        <w:t xml:space="preserve">Strictly speaking, teachers also have a role in learning </w:t>
      </w:r>
      <w:r w:rsidRPr="00D27CA3">
        <w:fldChar w:fldCharType="begin"/>
      </w:r>
      <w:r w:rsidRPr="00D27CA3">
        <w:instrText>ADDIN CSL_CITATION {"citationItems":[{"id":"ITEM-1","itemData":{"DOI":"10.15408/sd.v4i2.7991","author":[{"dropping-particle":"","family":"Fauzi","given":"Wildan Insan","non-dropping-particle":"","parse-names":false,"suffix":""},{"dropping-particle":"","family":"Ali","given":"Yusuf Faisal","non-dropping-particle":"","parse-names":false,"suffix":""}],"container-title":"SOSIO DIDAKTIKA: Social Science Education Journal","id":"ITEM-1","issue":"2","issued":{"date-parts":[["2017"]]},"title":"ALAM BERKEMBANG MENJADI GURU (Nilai-Nilai Kehidupan Buya Hamka sebagai Sumber Pembelajaran Nilai di IPS)","type":"article-journal","volume":"4"},"uris":["http://www.mendeley.com/documents/?uuid=bab66336-3e09-4b06-a97e-65128187cef9"]}],"mendeley":{"formattedCitation":"(Fauzi &amp; Ali, 2017)","plainTextFormattedCitation":"(Fauzi &amp; Ali, 2017)","previouslyFormattedCitation":"(Fauzi &amp; Ali, 2017)"},"properties":{"noteIndex":0},"schema":"https://github.com/citation-style-language/schema/raw/master/csl-citation.json"}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6" w:name="__Fieldmark__13_415532779"/>
      <w:r w:rsidRPr="00D27CA3">
        <w:rPr>
          <w:rFonts w:eastAsia="Cambria"/>
          <w:iCs/>
        </w:rPr>
        <w:t>Fauzi &amp; Ali, 2017)</w:t>
      </w:r>
      <w:r w:rsidRPr="00D27CA3">
        <w:rPr>
          <w:rFonts w:eastAsia="Cambria"/>
          <w:iCs/>
        </w:rPr>
        <w:fldChar w:fldCharType="end"/>
      </w:r>
      <w:bookmarkEnd w:id="26"/>
      <w:r w:rsidRPr="00D27CA3">
        <w:rPr>
          <w:rFonts w:eastAsia="Cambria"/>
          <w:iCs/>
        </w:rPr>
        <w:t xml:space="preserve">. </w:t>
      </w:r>
      <w:proofErr w:type="gramStart"/>
      <w:r w:rsidRPr="00D27CA3">
        <w:rPr>
          <w:rFonts w:eastAsia="Cambria"/>
          <w:iCs/>
        </w:rPr>
        <w:t xml:space="preserve">The optimization of communication technology in the subject Rule of Law Concept at STKIP Pasundan had led to emphasize </w:t>
      </w:r>
      <w:r w:rsidRPr="00D27CA3">
        <w:rPr>
          <w:lang w:val="en-ID"/>
        </w:rPr>
        <w:t xml:space="preserve">the importance of knowing </w:t>
      </w:r>
      <w:r w:rsidRPr="00D27CA3">
        <w:rPr>
          <w:rFonts w:eastAsia="Cambria"/>
          <w:iCs/>
        </w:rPr>
        <w:t xml:space="preserve">the concept of the rule of law for Pancasila and Citizenship Education (PPKn) prospective teachers in Indonesia </w:t>
      </w:r>
      <w:r w:rsidRPr="00D27CA3">
        <w:rPr>
          <w:lang w:val="en-ID"/>
        </w:rPr>
        <w:t>to create a reliable teaching profession in Indonesia's pluralistic society, because teaching</w:t>
      </w:r>
      <w:r w:rsidRPr="00D27CA3">
        <w:rPr>
          <w:rFonts w:eastAsia="Cambria"/>
          <w:iCs/>
        </w:rPr>
        <w:t xml:space="preserve"> condition is related to teachers’ job satisfaction </w:t>
      </w:r>
      <w:r w:rsidRPr="00D27CA3">
        <w:fldChar w:fldCharType="begin"/>
      </w:r>
      <w:r w:rsidRPr="00D27CA3">
        <w:instrText>ADDIN CSL_CITATION {"citationItems":[{"id":"ITEM-1","itemData":{"DOI":"10.1177/0004944116667620","ISSN":"0004-9441","abstract":"Teacher attrition is a current issue in Australia and other economically developed countries, with up to 50 per cent of teachers resigning from teaching within the first five years. Teacher attrition is widely considered to impact negatively on student achievement and the school. The present study of 160 Australian primary and secondary teachers who have been in the profession for up to 10 years investigates whether teachers? generalised resilience is associated with their intention to leave the teaching profession. As hypothesised, results indicate that lower levels of resilience are significantly related to a higher intention to leave the teaching profession, after controlling for job satisfaction and demographic variables. Implications for teaching conditions related to job satisfaction and the resilience of early career teachers are discussed.","author":[{"dropping-particle":"","family":"Arnup","given":"Jessica","non-dropping-particle":"","parse-names":false,"suffix":""},{"dropping-particle":"","family":"Bowles","given":"Terence","non-dropping-particle":"","parse-names":false,"suffix":""}],"container-title":"Australian Journal of Education","id":"ITEM-1","issue":"3","issued":{"date-parts":[["2016","9","16"]]},"note":"doi: 10.1177/0004944116667620","page":"229-244","publisher":"SAGE Publications Ltd","title":"Should I stay or should I go? Resilience as a protective factor for teachers’ intention to leave the teaching profession","type":"article-journal","volume":"60"},"uris":["http://www.mendeley.com/documents/?uuid=089f0dbb-cb33-4aca-a626-127d92867080"]}],"mendeley":{"formattedCitation":"(Arnup &amp; Bowles, 2016)","plainTextFormattedCitation":"(Arnup &amp; Bowles, 2016)","previouslyFormattedCitation":"(Arnup &amp; Bowles, 2016)"},"properties":{"noteIndex":0},"schema":"https://github.com/citation-style-language/schema/raw/master/csl-citation.json"}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7" w:name="__Fieldmark__14_415532779"/>
      <w:r w:rsidRPr="00D27CA3">
        <w:rPr>
          <w:rFonts w:eastAsia="Cambria"/>
          <w:iCs/>
        </w:rPr>
        <w:t>Arnup &amp; Bowles, 2016)</w:t>
      </w:r>
      <w:r w:rsidRPr="00D27CA3">
        <w:rPr>
          <w:rFonts w:eastAsia="Cambria"/>
          <w:iCs/>
        </w:rPr>
        <w:fldChar w:fldCharType="end"/>
      </w:r>
      <w:bookmarkEnd w:id="27"/>
      <w:r>
        <w:rPr>
          <w:rFonts w:eastAsia="Cambria"/>
          <w:iCs/>
        </w:rPr>
        <w:t>.</w:t>
      </w:r>
      <w:proofErr w:type="gramEnd"/>
    </w:p>
    <w:p w:rsidR="00D27CA3" w:rsidRDefault="00D27CA3" w:rsidP="00D27CA3">
      <w:pPr>
        <w:spacing w:before="50"/>
        <w:ind w:left="426"/>
        <w:jc w:val="both"/>
        <w:rPr>
          <w:rFonts w:eastAsia="Cambria"/>
          <w:iCs/>
        </w:rPr>
      </w:pPr>
      <w:r w:rsidRPr="00D27CA3">
        <w:rPr>
          <w:rFonts w:eastAsia="Cambria"/>
          <w:iCs/>
        </w:rPr>
        <w:t xml:space="preserve">Teacher education is to educate the nation's teachers </w:t>
      </w:r>
      <w:r w:rsidRPr="00D27CA3">
        <w:fldChar w:fldCharType="begin"/>
      </w:r>
      <w:r w:rsidRPr="00D27CA3">
        <w:instrText>ADDIN CSL_CITATION {"citationItems":[{"id":"ITEM-1","itemData":{"DOI":"10.1177/0022487105285672","ISSN":"0022-4871","abstract":"The locus of control in teacher education has been outside the hands of those who educate our nation?s teachers for more than a century. Essentialists have long controlled the agenda for public schooling in America, and it is evident as well that their influence has prevailed in both the form and function of teacher education. The authors suggest that the contest between progressives and essentialists regarding teacher education has been repeatedly decided in favor of the essentialists. The current attempt to recast teacher education to focus singularly on effectiveness of classroom teachers in raising the test scores of their students is a not-unanticipated result of this enduring contest.","author":[{"dropping-particle":"","family":"Imig","given":"David G","non-dropping-particle":"","parse-names":false,"suffix":""},{"dropping-particle":"","family":"Imig","given":"Scott R","non-dropping-particle":"","parse-names":false,"suffix":""}],"container-title":"Journal of Teacher Education","id":"ITEM-1","issue":"2","issued":{"date-parts":[["2006","3","1"]]},"note":"doi: 10.1177/0022487105285672","page":"167-180","publisher":"SAGE Publications Inc","title":"The Teacher Effectiveness Movement: How 80 Years of Essentialist Control Have Shaped the Teacher Education Profession","type":"article-journal","volume":"57"},"uris":["http://www.mendeley.com/documents/?uuid=7cc96b96-370c-4888-80c1-0212700dae59"]}],"mendeley":{"formattedCitation":"(Imig &amp; Imig, 2006)","plainTextFormattedCitation":"(Imig &amp; Imig, 2006)","previouslyFormattedCitation":"(Imig &amp; Imig, 2006)"},"properties":{"noteIndex":0},"schema":"https://github.com/citation-style-language/schema/raw/master/csl-citation.json"}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8" w:name="__Fieldmark__15_415532779"/>
      <w:r w:rsidRPr="00D27CA3">
        <w:rPr>
          <w:rFonts w:eastAsia="Cambria"/>
          <w:iCs/>
        </w:rPr>
        <w:t>Immig &amp; Immig, 2006)</w:t>
      </w:r>
      <w:r w:rsidRPr="00D27CA3">
        <w:rPr>
          <w:rFonts w:eastAsia="Cambria"/>
          <w:iCs/>
        </w:rPr>
        <w:fldChar w:fldCharType="end"/>
      </w:r>
      <w:bookmarkEnd w:id="28"/>
      <w:r w:rsidRPr="00D27CA3">
        <w:rPr>
          <w:rFonts w:eastAsia="Cambria"/>
          <w:iCs/>
        </w:rPr>
        <w:t xml:space="preserve">. Therefore, </w:t>
      </w:r>
      <w:r w:rsidRPr="00D27CA3">
        <w:rPr>
          <w:lang w:val="en-ID"/>
        </w:rPr>
        <w:t xml:space="preserve">one of the efforts to instil </w:t>
      </w:r>
      <w:r w:rsidRPr="00D27CA3">
        <w:rPr>
          <w:rFonts w:eastAsia="Cambria"/>
          <w:iCs/>
        </w:rPr>
        <w:t>the concept of a rule of law for Pancasila and Citizenship Education (PPKn) prospective teachers in Indonesia</w:t>
      </w:r>
      <w:r w:rsidRPr="00D27CA3">
        <w:t xml:space="preserve"> is </w:t>
      </w:r>
      <w:r w:rsidRPr="00D27CA3">
        <w:rPr>
          <w:lang w:val="en-ID"/>
        </w:rPr>
        <w:t xml:space="preserve">to provide legal education integrated into Citizenship Education course, because education can </w:t>
      </w:r>
      <w:r w:rsidRPr="00D27CA3">
        <w:rPr>
          <w:rFonts w:eastAsia="Cambria"/>
          <w:iCs/>
        </w:rPr>
        <w:t xml:space="preserve">support or hinder the enculturation of educational practice </w:t>
      </w:r>
      <w:r w:rsidRPr="00D27CA3">
        <w:fldChar w:fldCharType="begin"/>
      </w:r>
      <w:r w:rsidRPr="00D27CA3">
        <w:instrText>ADDIN CSL_CITATION {"citationItems":[{"id":"ITEM-1","itemData":{"DOI":"10.1177/0022057419834913","ISSN":"0022-0574","abstract":"This article explores Swedish students? perspectives on being new to teacher education and what challenges they meet. Nineteen students were interviewed in three focus groups. The analytical framework draws on the theory of situated learning and the concept of enculturation, and the empirical data have been categorized through a thematic content analysis, which revealed two qualitatively different categories of challenges: as academic student, and as trainee teacher. Conclusively, the study shows how the education can support or obstruct the enculturation into the educational practices. Conceiving such hinders can facilitate the students? understanding of both the studies and their future profession.","author":[{"dropping-particle":"","family":"Ståhle","given":"Ylva","non-dropping-particle":"","parse-names":false,"suffix":""},{"dropping-particle":"","family":"Aspán","given":"Margareta","non-dropping-particle":"","parse-names":false,"suffix":""}],"container-title":"Journal of Education","id":"ITEM-1","issue":"1","issued":{"date-parts":[["2019","1","1"]]},"note":"doi: 10.1177/0022057419834913","page":"3-12","publisher":"SAGE Publications Inc","title":"Teacher Students’ Experienced Challenges in the Beginning of Their Education","type":"article-journal","volume":"199"},"uris":["http://www.mendeley.com/documents/?uuid=75cc5b91-be9c-45d4-8233-98501607d797"]}],"mendeley":{"formattedCitation":"(Ståhle &amp; Aspán, 2019)","plainTextFormattedCitation":"(Ståhle &amp; Aspán, 2019)","previouslyFormattedCitation":"(Ståhle &amp; Aspán, 2019)"},"properties":{"noteIndex":0},"schema":"https://github.com/citation-style-language/schema/raw/master/csl-citation.json"}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29" w:name="__Fieldmark__16_415532779"/>
      <w:r w:rsidRPr="00D27CA3">
        <w:rPr>
          <w:rFonts w:eastAsia="Cambria"/>
          <w:iCs/>
        </w:rPr>
        <w:t>Ståhle &amp; Aspán, 2019)</w:t>
      </w:r>
      <w:r w:rsidRPr="00D27CA3">
        <w:rPr>
          <w:rFonts w:eastAsia="Cambria"/>
          <w:iCs/>
        </w:rPr>
        <w:fldChar w:fldCharType="end"/>
      </w:r>
      <w:bookmarkEnd w:id="29"/>
      <w:r w:rsidRPr="00D27CA3">
        <w:rPr>
          <w:rFonts w:eastAsia="Cambria"/>
          <w:iCs/>
        </w:rPr>
        <w:t xml:space="preserve">. On the other hand, policy making in the field of education is an important part to manage the future </w:t>
      </w:r>
      <w:r w:rsidRPr="00D27CA3">
        <w:fldChar w:fldCharType="begin"/>
      </w:r>
      <w:r w:rsidRPr="00D27CA3">
        <w:instrText>ADDIN CSL_CITATION {"citationItems":[{"id":"ITEM-1","itemData":{"DOI":"10.1177/1478210315595164","ISSN":"1478-2103","abstract":"To Govern in the name of the future is considered to be an essential part of policy-making in education. In Sweden, this is particularly evident in the political and public rhetoric used in debates on modern schooling and educational reform. However, this is not merely a national phenomenon; rather, educational governance in the name of the future is largely a global phenomenon that can be found in text and talk worldwide. These national and global narratives express ideas, hopes and visions of the future society and the school of tomorrow, but also the demands of and expectations from different actors on educational arenas. In this article I draw attention to the education policy debate in the Swedish Parliament during the period 2001-2010, with a certain focus on the debates about teacher education. The aim of the paper is to discuss how the future society is expressed in Swedish policy debate in times of changing conditions and demands of education mainly represented by knowledge-based economies and the increasing globalization of society.","author":[{"dropping-particle":"","family":"Forssell","given":"Anna","non-dropping-particle":"","parse-names":false,"suffix":""}],"container-title":"Policy Futures in Education","id":"ITEM-1","issue":"6","issued":{"date-parts":[["2015","7","21"]]},"note":"doi: 10.1177/1478210315595164","page":"712-731","publisher":"SAGE Publications","title":"School and the future: How teachers and teacher education are articulated in the political debate","type":"article-journal","volume":"13"},"uris":["http://www.mendeley.com/documents/?uuid=788d3b3e-f547-4e54-87e2-fb93f9de99ca"]}],"mendeley":{"formattedCitation":"(Forssell, 2015)","plainTextFormattedCitation":"(Forssell, 2015)","previouslyFormattedCitation":"(Forssell, 2015)"},"properties":{"noteIndex":0},"schema":"https://github.com/citation-style-language/schema/raw/master/csl-citation.json"}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30" w:name="__Fieldmark__17_415532779"/>
      <w:r w:rsidRPr="00D27CA3">
        <w:rPr>
          <w:rFonts w:eastAsia="Cambria"/>
          <w:iCs/>
        </w:rPr>
        <w:t>Forssell, 2015)</w:t>
      </w:r>
      <w:r w:rsidRPr="00D27CA3">
        <w:rPr>
          <w:rFonts w:eastAsia="Cambria"/>
          <w:iCs/>
        </w:rPr>
        <w:fldChar w:fldCharType="end"/>
      </w:r>
      <w:bookmarkEnd w:id="30"/>
      <w:r w:rsidRPr="00D27CA3">
        <w:rPr>
          <w:rFonts w:eastAsia="Cambria"/>
          <w:iCs/>
        </w:rPr>
        <w:t xml:space="preserve">. </w:t>
      </w:r>
      <w:proofErr w:type="gramStart"/>
      <w:r w:rsidRPr="00D27CA3">
        <w:rPr>
          <w:rFonts w:eastAsia="Cambria"/>
          <w:iCs/>
        </w:rPr>
        <w:t>As a prospective teacher for Pancasila and Citizenship Education (PPKn) in Indonesia,</w:t>
      </w:r>
      <w:proofErr w:type="gramEnd"/>
      <w:r w:rsidRPr="00D27CA3">
        <w:rPr>
          <w:rFonts w:eastAsia="Cambria"/>
          <w:iCs/>
        </w:rPr>
        <w:t xml:space="preserve"> </w:t>
      </w:r>
      <w:proofErr w:type="gramStart"/>
      <w:r w:rsidRPr="00D27CA3">
        <w:rPr>
          <w:lang w:val="en-ID"/>
        </w:rPr>
        <w:t xml:space="preserve">the </w:t>
      </w:r>
      <w:r w:rsidRPr="00D27CA3">
        <w:rPr>
          <w:rFonts w:eastAsia="Cambria"/>
          <w:iCs/>
        </w:rPr>
        <w:t>rule of law concept</w:t>
      </w:r>
      <w:proofErr w:type="gramEnd"/>
      <w:r w:rsidRPr="00D27CA3">
        <w:rPr>
          <w:rFonts w:eastAsia="Cambria"/>
          <w:iCs/>
        </w:rPr>
        <w:t xml:space="preserve"> has </w:t>
      </w:r>
      <w:r w:rsidRPr="00D27CA3">
        <w:rPr>
          <w:lang w:val="en-ID"/>
        </w:rPr>
        <w:t xml:space="preserve">provided a great influence on the process of disseminating civics knowledge for them. </w:t>
      </w:r>
    </w:p>
    <w:p w:rsidR="00D27CA3" w:rsidRPr="00D27CA3" w:rsidRDefault="00D27CA3" w:rsidP="00D27CA3">
      <w:pPr>
        <w:spacing w:before="50"/>
        <w:ind w:left="426"/>
        <w:jc w:val="both"/>
        <w:rPr>
          <w:rFonts w:eastAsia="Cambria"/>
          <w:iCs/>
        </w:rPr>
      </w:pPr>
      <w:r w:rsidRPr="00D27CA3">
        <w:rPr>
          <w:lang w:val="en-ID"/>
        </w:rPr>
        <w:t xml:space="preserve">A board of knowledge on </w:t>
      </w:r>
      <w:r w:rsidRPr="00D27CA3">
        <w:rPr>
          <w:rFonts w:eastAsia="Cambria"/>
          <w:iCs/>
        </w:rPr>
        <w:t xml:space="preserve">the concept of a rule of law for prospective teachers of Pancasila and Citizenship Education (PPKn) at STKIP Pasundan </w:t>
      </w:r>
      <w:proofErr w:type="gramStart"/>
      <w:r w:rsidRPr="00D27CA3">
        <w:rPr>
          <w:rFonts w:eastAsia="Cambria"/>
          <w:iCs/>
        </w:rPr>
        <w:t>was obtained</w:t>
      </w:r>
      <w:proofErr w:type="gramEnd"/>
      <w:r w:rsidRPr="00D27CA3">
        <w:rPr>
          <w:rFonts w:eastAsia="Cambria"/>
          <w:iCs/>
        </w:rPr>
        <w:t xml:space="preserve"> </w:t>
      </w:r>
      <w:r w:rsidRPr="00D27CA3">
        <w:rPr>
          <w:lang w:val="en-ID"/>
        </w:rPr>
        <w:t xml:space="preserve">from habituation, so that when they attended as PPKn teachers, they have already known about the </w:t>
      </w:r>
      <w:r w:rsidRPr="00D27CA3">
        <w:rPr>
          <w:rFonts w:eastAsia="Cambria"/>
          <w:iCs/>
        </w:rPr>
        <w:t xml:space="preserve">rule of law concept. Therefore, it results variety of changes in educational teaching practices </w:t>
      </w:r>
      <w:r w:rsidRPr="00D27CA3">
        <w:fldChar w:fldCharType="begin"/>
      </w:r>
      <w:r w:rsidRPr="00D27CA3">
        <w:instrText>ADDIN CSL_CITATION {"citationItems":[{"id":"ITEM-1","itemData":{"DOI":"10.1177/1356336X16642716","ISSN":"1356-336X","abstract":"The primary objective of this study was to evaluate the efficacy of a continuing professional development (CPD) intervention in producing changes in physical education (PE) teaching practice and PE teaching quality by generalist primary school teachers when the CPD addressed the use of a game-centred approach. A cluster randomized controlled trial was conducted in seven primary schools in the Hunter Region, New South Wales, Australia. One year six teacher from each school was randomized into the Professional Learning for Understanding Games Education (PLUNGE) intervention (n = 4 teachers) or the 7-week wait-list control (n = 3) condition. The PLUNGE intervention (weeks 1?5) used an instructional framework to improve teachers? knowledge, understanding and delivery of a game-centred curriculum, and included an information session and weekly in-class mentoring. The intervention was designed to enhance content and pedagogical knowledge for the provision of pedagogy focused on a broad range of learning outcomes. Teaching quality was assessed at baseline and follow-up (weeks 6 and 7) via observation of two consecutive PE lessons using the Quality Teaching Lesson Observation Scales. Linear mixed models revealed significant group-by-time intervention effects (p &lt; 0.05) for the quality of teaching (effect size: d = 1.7). CPD using an information session and mentoring, and a focus on the development of the quality of teaching using a game-centred pedagogical approach was efficacious in improving the quality of PE teaching among generalist primary school teachers.","author":[{"dropping-particle":"","family":"Miller","given":"Andrew","non-dropping-particle":"","parse-names":false,"suffix":""},{"dropping-particle":"","family":"Eather","given":"Narelle","non-dropping-particle":"","parse-names":false,"suffix":""},{"dropping-particle":"","family":"Gray","given":"Shirley","non-dropping-particle":"","parse-names":false,"suffix":""},{"dropping-particle":"","family":"Sproule","given":"John","non-dropping-particle":"","parse-names":false,"suffix":""},{"dropping-particle":"","family":"Williams","given":"Cheryl","non-dropping-particle":"","parse-names":false,"suffix":""},{"dropping-particle":"","family":"Gore","given":"Jennifer","non-dropping-particle":"","parse-names":false,"suffix":""},{"dropping-particle":"","family":"Lubans","given":"David","non-dropping-particle":"","parse-names":false,"suffix":""}],"container-title":"European Physical Education Review","id":"ITEM-1","issue":"2","issued":{"date-parts":[["2016","4","8"]]},"note":"doi: 10.1177/1356336X16642716","page":"171-195","publisher":"SAGE Publications Ltd","title":"Can continuing professional development utilizing a game-centred approach improve the quality of physical education teaching delivered by generalist primary school teachers?","type":"article-journal","volume":"23"},"uris":["http://www.mendeley.com/documents/?uuid=6490a2bc-e457-4f09-98c5-1af482002045"]}],"mendeley":{"formattedCitation":"(Miller et al., 2016)","plainTextFormattedCitation":"(Miller et al., 2016)","previouslyFormattedCitation":"(Miller et al., 2016)"},"properties":{"noteIndex":0},"schema":"https://github.com/citation-style-language/schema/raw/master/csl-citation.json"}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31" w:name="__Fieldmark__18_415532779"/>
      <w:r w:rsidRPr="00D27CA3">
        <w:rPr>
          <w:rFonts w:eastAsia="Cambria"/>
          <w:iCs/>
        </w:rPr>
        <w:t>Miller et al., 2016)</w:t>
      </w:r>
      <w:r w:rsidRPr="00D27CA3">
        <w:rPr>
          <w:rFonts w:eastAsia="Cambria"/>
          <w:iCs/>
        </w:rPr>
        <w:fldChar w:fldCharType="end"/>
      </w:r>
      <w:bookmarkEnd w:id="31"/>
      <w:r w:rsidRPr="00D27CA3">
        <w:rPr>
          <w:rFonts w:eastAsia="Cambria"/>
          <w:iCs/>
        </w:rPr>
        <w:t xml:space="preserve">. Besides, the university administrator as an integrated party has considered to re-organize academic life inside and outside the institution </w:t>
      </w:r>
      <w:r w:rsidRPr="00D27CA3">
        <w:fldChar w:fldCharType="begin"/>
      </w:r>
      <w:r w:rsidRPr="00D27CA3">
        <w:instrText>ADDIN CSL_CITATION {"citationItems":[{"id":"ITEM-1","itemData":{"DOI":"10.1177/1478210314566734","ISSN":"1478-2103","abstract":"This paper presents an overview of the problems that hinder improvement of the quality of education in Yemen, with a particular focus on higher education institutions. It discusses in particular the problem of the brain drain and why this phenomenon is occurring in Yemen. Semi-structured interviews with three professors at higher education institutions were conducted. Analysis identified two main factors that compel many Yemeni professors to leave the country. The first is associated with lack of fairness and respect among instructors in Yemeni universities; the second is concerned with the instructors? deep dissatisfaction with their financial income. It is argued that unless the university administrators and the government as a whole reconsider the salaries of those in both secondary and higher education institutions, and provide and impose rigorous rules for regulating academic life inside and outside the institutions, many other instructors will leave Yemen, their country of origin, action which will cause further weaknesses in the nation?s higher education institutions.","author":[{"dropping-particle":"","family":"Muthanna","given":"Abdulghani","non-dropping-particle":"","parse-names":false,"suffix":""}],"container-title":"Policy Futures in Education","id":"ITEM-1","issue":"1","issued":{"date-parts":[["2015","1","1"]]},"note":"doi: 10.1177/1478210314566734","page":"141-148","publisher":"SAGE Publications","title":"Quality education improvement: Yemen and the problem of the ‘brain drain’","type":"article-journal","volume":"13"},"uris":["http://www.mendeley.com/documents/?uuid=3eb2fe54-705c-4597-afa5-9edffadebdde"]}],"mendeley":{"formattedCitation":"(Muthanna, 2015)","plainTextFormattedCitation":"(Muthanna, 2015)","previouslyFormattedCitation":"(Muthanna, 2015)"},"properties":{"noteIndex":0},"schema":"https://github.com/citation-style-language/schema/raw/master/csl-citation.json"}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32" w:name="__Fieldmark__19_415532779"/>
      <w:r w:rsidRPr="00D27CA3">
        <w:rPr>
          <w:rFonts w:eastAsia="Cambria"/>
          <w:iCs/>
        </w:rPr>
        <w:t>Muthanna, 2015)</w:t>
      </w:r>
      <w:r w:rsidRPr="00D27CA3">
        <w:rPr>
          <w:rFonts w:eastAsia="Cambria"/>
          <w:iCs/>
        </w:rPr>
        <w:fldChar w:fldCharType="end"/>
      </w:r>
      <w:bookmarkEnd w:id="32"/>
      <w:r w:rsidRPr="00D27CA3">
        <w:rPr>
          <w:rFonts w:eastAsia="Cambria"/>
          <w:iCs/>
        </w:rPr>
        <w:t xml:space="preserve">. Then, a number of </w:t>
      </w:r>
      <w:r w:rsidRPr="00D27CA3">
        <w:rPr>
          <w:lang w:val="en-ID"/>
        </w:rPr>
        <w:t xml:space="preserve">efforts to impart knowledge for </w:t>
      </w:r>
      <w:r w:rsidRPr="00D27CA3">
        <w:rPr>
          <w:rFonts w:eastAsia="Cambria"/>
          <w:iCs/>
        </w:rPr>
        <w:t>Pancasila and Citizenship Education (PPKn) prospective teachers at STKIP Pasundan have been implemented, particularly in</w:t>
      </w:r>
      <w:r w:rsidRPr="00D27CA3">
        <w:rPr>
          <w:lang w:val="en-ID"/>
        </w:rPr>
        <w:t xml:space="preserve"> providing education that can maximize their profession. Hence, t</w:t>
      </w:r>
      <w:r w:rsidRPr="00D27CA3">
        <w:rPr>
          <w:rFonts w:eastAsia="Cambria"/>
          <w:iCs/>
        </w:rPr>
        <w:t xml:space="preserve">here is a social impact on current issues and future directions in education planning </w:t>
      </w:r>
      <w:r w:rsidRPr="00D27CA3">
        <w:fldChar w:fldCharType="begin"/>
      </w:r>
      <w:r w:rsidRPr="00D27CA3">
        <w:instrText>ADDIN CSL_CITATION {"citationItems":[{"id":"ITEM-1","itemData":{"DOI":"10.3102/1076998618809677","ISSN":"1076-9986","abstract":"This article is an overview of the National Assessment of Education Quality (NAEQ) of China in reading, mathematics, sciences, arts, physical education, and moral education at Grades 4 and 8. After a review of the background and history of NAEQ, we present the assessment framework with students? holistic development at the core and the design for each subject used in the 2015?2017 assessment cycle. Technical details including item response modeling and the standard setting procedure are presented. We conclude with a discussion of the social impact, current issues, and future directions of national educational assessment.","author":[{"dropping-particle":"","family":"Jiang","given":"Yu","non-dropping-particle":"","parse-names":false,"suffix":""},{"dropping-particle":"","family":"Zhang","given":"Jiahui","non-dropping-particle":"","parse-names":false,"suffix":""},{"dropping-particle":"","family":"Xin","given":"Tao","non-dropping-particle":"","parse-names":false,"suffix":""}],"container-title":"Journal of Educational and Behavioral Statistics","id":"ITEM-1","issue":"6","issued":{"date-parts":[["2018","11","12"]]},"note":"doi: 10.3102/1076998618809677","page":"733-751","publisher":"American Educational Research Association","title":"Toward Education Quality Improvement in China: A Brief Overview of the National Assessment of Education Quality","type":"article-journal","volume":"44"},"uris":["http://www.mendeley.com/documents/?uuid=e577796e-626b-4871-a1a4-c400c3fd6cea"]}],"mendeley":{"formattedCitation":"(Jiang, Zhang, &amp; Xin, 2018)","plainTextFormattedCitation":"(Jiang, Zhang, &amp; Xin, 2018)","previouslyFormattedCitation":"(Jiang, Zhang, &amp; Xin, 2018)"},"properties":{"noteIndex":0},"schema":"https://github.com/citation-style-language/schema/raw/master/csl-citation.json"}</w:instrText>
      </w:r>
      <w:r w:rsidRPr="00D27CA3">
        <w:rPr>
          <w:rFonts w:eastAsia="Cambria"/>
          <w:iCs/>
        </w:rPr>
        <w:fldChar w:fldCharType="separate"/>
      </w:r>
      <w:r w:rsidRPr="00D27CA3">
        <w:rPr>
          <w:rFonts w:eastAsia="Cambria"/>
          <w:iCs/>
        </w:rPr>
        <w:t>(</w:t>
      </w:r>
      <w:bookmarkStart w:id="33" w:name="__Fieldmark__20_415532779"/>
      <w:r w:rsidRPr="00D27CA3">
        <w:rPr>
          <w:rFonts w:eastAsia="Cambria"/>
          <w:iCs/>
        </w:rPr>
        <w:t>Jiang, Zhang, &amp; Xin, 2018)</w:t>
      </w:r>
      <w:r w:rsidRPr="00D27CA3">
        <w:rPr>
          <w:rFonts w:eastAsia="Cambria"/>
          <w:iCs/>
        </w:rPr>
        <w:fldChar w:fldCharType="end"/>
      </w:r>
      <w:bookmarkEnd w:id="33"/>
      <w:r w:rsidRPr="00D27CA3">
        <w:rPr>
          <w:rFonts w:eastAsia="Cambria"/>
          <w:iCs/>
        </w:rPr>
        <w:t xml:space="preserve">. </w:t>
      </w:r>
    </w:p>
    <w:p w:rsidR="0097087A" w:rsidRPr="00AE3609" w:rsidRDefault="0097087A" w:rsidP="00D27CA3">
      <w:pPr>
        <w:pStyle w:val="Heading1"/>
        <w:spacing w:before="0"/>
        <w:ind w:left="0"/>
        <w:jc w:val="both"/>
        <w:rPr>
          <w:b w:val="0"/>
        </w:rPr>
      </w:pPr>
    </w:p>
    <w:p w:rsidR="00D27CA3" w:rsidRDefault="00FD4394" w:rsidP="00D27CA3">
      <w:pPr>
        <w:pStyle w:val="Heading1"/>
        <w:spacing w:before="0"/>
        <w:jc w:val="both"/>
      </w:pPr>
      <w:r w:rsidRPr="00AE3609">
        <w:t>CONCLUSION</w:t>
      </w:r>
    </w:p>
    <w:p w:rsidR="00D27CA3" w:rsidRPr="00D27CA3" w:rsidRDefault="00D27CA3" w:rsidP="00D27CA3">
      <w:pPr>
        <w:pStyle w:val="Heading1"/>
        <w:spacing w:before="0"/>
        <w:jc w:val="both"/>
        <w:rPr>
          <w:b w:val="0"/>
        </w:rPr>
      </w:pPr>
      <w:r w:rsidRPr="00D27CA3">
        <w:rPr>
          <w:rFonts w:eastAsia="Cambria"/>
          <w:b w:val="0"/>
          <w:iCs/>
        </w:rPr>
        <w:t xml:space="preserve">Based on these findings, this study can indicate three points. First, the communication technology as a vehicle for education in the concept of the rule of law in the academic community at STKIP Pasundan Cimahi during the pandemic has taught students about their rights and obligations as good citizens, so that the students can understand their role as </w:t>
      </w:r>
      <w:r w:rsidRPr="00D27CA3">
        <w:rPr>
          <w:b w:val="0"/>
          <w:lang w:val="en-ID"/>
        </w:rPr>
        <w:t xml:space="preserve">citizens. Second, the campus (institute) </w:t>
      </w:r>
      <w:r w:rsidRPr="00D27CA3">
        <w:rPr>
          <w:rFonts w:eastAsia="Cambria"/>
          <w:b w:val="0"/>
          <w:iCs/>
        </w:rPr>
        <w:t xml:space="preserve">has a role to </w:t>
      </w:r>
      <w:r w:rsidRPr="00D27CA3">
        <w:rPr>
          <w:rFonts w:eastAsia="Cambria"/>
          <w:b w:val="0"/>
          <w:iCs/>
        </w:rPr>
        <w:lastRenderedPageBreak/>
        <w:t xml:space="preserve">provide the </w:t>
      </w:r>
      <w:r w:rsidRPr="00D27CA3">
        <w:rPr>
          <w:rFonts w:eastAsia="Cambria"/>
          <w:b w:val="0"/>
          <w:iCs/>
          <w:lang w:val="id-ID"/>
        </w:rPr>
        <w:t>concept of the State of Law through student</w:t>
      </w:r>
      <w:r w:rsidRPr="00D27CA3">
        <w:rPr>
          <w:rFonts w:eastAsia="Cambria"/>
          <w:b w:val="0"/>
          <w:iCs/>
        </w:rPr>
        <w:t>s’</w:t>
      </w:r>
      <w:r w:rsidRPr="00D27CA3">
        <w:rPr>
          <w:rFonts w:eastAsia="Cambria"/>
          <w:b w:val="0"/>
          <w:iCs/>
          <w:lang w:val="id-ID"/>
        </w:rPr>
        <w:t xml:space="preserve"> campus activity program.</w:t>
      </w:r>
      <w:r w:rsidRPr="00D27CA3">
        <w:rPr>
          <w:rFonts w:eastAsia="Cambria"/>
          <w:b w:val="0"/>
          <w:iCs/>
        </w:rPr>
        <w:t xml:space="preserve"> Third, in the way out in facing educational obstacles,</w:t>
      </w:r>
      <w:r w:rsidRPr="00D27CA3">
        <w:rPr>
          <w:b w:val="0"/>
        </w:rPr>
        <w:t xml:space="preserve"> </w:t>
      </w:r>
      <w:r w:rsidRPr="00D27CA3">
        <w:rPr>
          <w:rFonts w:eastAsia="Cambria"/>
          <w:b w:val="0"/>
          <w:iCs/>
        </w:rPr>
        <w:t>t</w:t>
      </w:r>
      <w:r w:rsidRPr="00D27CA3">
        <w:rPr>
          <w:rFonts w:eastAsia="Cambria"/>
          <w:b w:val="0"/>
          <w:iCs/>
          <w:lang w:val="id-ID"/>
        </w:rPr>
        <w:t xml:space="preserve">he concept of the rule of law during the pandemic is to improve the quality of the program during learning </w:t>
      </w:r>
      <w:r w:rsidRPr="00D27CA3">
        <w:rPr>
          <w:rFonts w:eastAsia="Cambria"/>
          <w:b w:val="0"/>
          <w:iCs/>
        </w:rPr>
        <w:t>process in the midst of the pandemic</w:t>
      </w:r>
      <w:r w:rsidRPr="00D27CA3">
        <w:rPr>
          <w:rFonts w:eastAsia="Cambria"/>
          <w:b w:val="0"/>
          <w:iCs/>
          <w:lang w:val="id-ID"/>
        </w:rPr>
        <w:t xml:space="preserve">. </w:t>
      </w:r>
      <w:r w:rsidRPr="00D27CA3">
        <w:rPr>
          <w:rFonts w:eastAsia="Cambria"/>
          <w:b w:val="0"/>
          <w:iCs/>
        </w:rPr>
        <w:t xml:space="preserve">In addition, </w:t>
      </w:r>
      <w:r w:rsidRPr="00D27CA3">
        <w:rPr>
          <w:rFonts w:eastAsia="Cambria"/>
          <w:b w:val="0"/>
          <w:iCs/>
          <w:lang w:val="id-ID"/>
        </w:rPr>
        <w:t xml:space="preserve">optimizing communication technology as a vehicle for the concept of rule of law education in the academic community STKIP Pasundan </w:t>
      </w:r>
      <w:r w:rsidRPr="00D27CA3">
        <w:rPr>
          <w:rFonts w:eastAsia="Cambria"/>
          <w:b w:val="0"/>
          <w:iCs/>
        </w:rPr>
        <w:t>has become</w:t>
      </w:r>
      <w:r w:rsidRPr="00D27CA3">
        <w:rPr>
          <w:rFonts w:eastAsia="Cambria"/>
          <w:b w:val="0"/>
          <w:iCs/>
          <w:lang w:val="id-ID"/>
        </w:rPr>
        <w:t xml:space="preserve"> a strategic step in Citizenship Education.</w:t>
      </w:r>
    </w:p>
    <w:p w:rsidR="00AE3609" w:rsidRDefault="00FD4394" w:rsidP="00D27CA3">
      <w:pPr>
        <w:pStyle w:val="Heading1"/>
        <w:spacing w:before="123" w:line="250" w:lineRule="exact"/>
      </w:pPr>
      <w:r>
        <w:t>REFERENCES</w:t>
      </w:r>
    </w:p>
    <w:p w:rsidR="00D27CA3" w:rsidRDefault="00D27CA3" w:rsidP="00D27CA3">
      <w:pPr>
        <w:pStyle w:val="Heading1"/>
        <w:spacing w:before="123" w:line="250" w:lineRule="exact"/>
      </w:pPr>
    </w:p>
    <w:p w:rsidR="00D27CA3" w:rsidRPr="00D27CA3" w:rsidRDefault="00D27CA3" w:rsidP="00D27CA3">
      <w:pPr>
        <w:pStyle w:val="ListParagraph"/>
        <w:numPr>
          <w:ilvl w:val="0"/>
          <w:numId w:val="9"/>
        </w:numPr>
        <w:adjustRightInd w:val="0"/>
        <w:rPr>
          <w:noProof/>
        </w:rPr>
      </w:pPr>
      <w:r w:rsidRPr="00D27CA3">
        <w:fldChar w:fldCharType="begin" w:fldLock="1"/>
      </w:r>
      <w:r w:rsidRPr="00D27CA3">
        <w:instrText xml:space="preserve">ADDIN Mendeley Bibliography CSL_BIBLIOGRAPHY </w:instrText>
      </w:r>
      <w:r w:rsidRPr="00D27CA3">
        <w:fldChar w:fldCharType="separate"/>
      </w:r>
      <w:r w:rsidRPr="00D27CA3">
        <w:rPr>
          <w:noProof/>
        </w:rPr>
        <w:t xml:space="preserve">Ali, Y. F. (2017). UPAYA TOKOH AGAMA DALAM MENGEMBANGKAN SIKAP TOLERANSI ANTARUMAT BERAGAMA. </w:t>
      </w:r>
      <w:r w:rsidRPr="00D27CA3">
        <w:rPr>
          <w:i/>
          <w:iCs/>
          <w:noProof/>
        </w:rPr>
        <w:t>Untirta Civic Education Journal</w:t>
      </w:r>
      <w:r w:rsidRPr="00D27CA3">
        <w:rPr>
          <w:noProof/>
        </w:rPr>
        <w:t xml:space="preserve">, </w:t>
      </w:r>
      <w:r w:rsidRPr="00D27CA3">
        <w:rPr>
          <w:i/>
          <w:iCs/>
          <w:noProof/>
        </w:rPr>
        <w:t>17</w:t>
      </w:r>
      <w:r w:rsidRPr="00D27CA3">
        <w:rPr>
          <w:noProof/>
        </w:rPr>
        <w:t>(2), 91–112.</w:t>
      </w:r>
    </w:p>
    <w:p w:rsidR="00D27CA3" w:rsidRPr="00D27CA3" w:rsidRDefault="00D27CA3" w:rsidP="00D27CA3">
      <w:pPr>
        <w:pStyle w:val="ListParagraph"/>
        <w:numPr>
          <w:ilvl w:val="0"/>
          <w:numId w:val="9"/>
        </w:numPr>
        <w:adjustRightInd w:val="0"/>
        <w:rPr>
          <w:noProof/>
        </w:rPr>
      </w:pPr>
      <w:r w:rsidRPr="00D27CA3">
        <w:rPr>
          <w:noProof/>
        </w:rPr>
        <w:t xml:space="preserve">Andi, F. (2020). Great Reset Hukum di Masa Pandemi. </w:t>
      </w:r>
      <w:r w:rsidRPr="00D27CA3">
        <w:rPr>
          <w:i/>
          <w:iCs/>
          <w:noProof/>
        </w:rPr>
        <w:t>Kompas.Com</w:t>
      </w:r>
      <w:r w:rsidRPr="00D27CA3">
        <w:rPr>
          <w:noProof/>
        </w:rPr>
        <w:t>. Retrieved from https://www.kompas.com/tren/read/2020/08/21/152655765/great-reset-hukum-di-masa-pandemi?page=all</w:t>
      </w:r>
    </w:p>
    <w:p w:rsidR="00D27CA3" w:rsidRPr="00D27CA3" w:rsidRDefault="00D27CA3" w:rsidP="00D27CA3">
      <w:pPr>
        <w:pStyle w:val="ListParagraph"/>
        <w:numPr>
          <w:ilvl w:val="0"/>
          <w:numId w:val="9"/>
        </w:numPr>
        <w:adjustRightInd w:val="0"/>
        <w:rPr>
          <w:noProof/>
        </w:rPr>
      </w:pPr>
      <w:r w:rsidRPr="00D27CA3">
        <w:rPr>
          <w:noProof/>
        </w:rPr>
        <w:t xml:space="preserve">Arnup, J., &amp; Bowles, T. (2016). Should I stay or should I go? Resilience as a protective factor for teachers’ intention to leave the teaching profession. </w:t>
      </w:r>
      <w:r w:rsidRPr="00D27CA3">
        <w:rPr>
          <w:i/>
          <w:iCs/>
          <w:noProof/>
        </w:rPr>
        <w:t>Australian Journal of Education</w:t>
      </w:r>
      <w:r w:rsidRPr="00D27CA3">
        <w:rPr>
          <w:noProof/>
        </w:rPr>
        <w:t xml:space="preserve">, </w:t>
      </w:r>
      <w:r w:rsidRPr="00D27CA3">
        <w:rPr>
          <w:i/>
          <w:iCs/>
          <w:noProof/>
        </w:rPr>
        <w:t>60</w:t>
      </w:r>
      <w:r w:rsidRPr="00D27CA3">
        <w:rPr>
          <w:noProof/>
        </w:rPr>
        <w:t>(3), 229–244. https://doi.org/10.1177/0004944116667620</w:t>
      </w:r>
    </w:p>
    <w:p w:rsidR="00D27CA3" w:rsidRPr="00D27CA3" w:rsidRDefault="00D27CA3" w:rsidP="00D27CA3">
      <w:pPr>
        <w:pStyle w:val="ListParagraph"/>
        <w:numPr>
          <w:ilvl w:val="0"/>
          <w:numId w:val="9"/>
        </w:numPr>
        <w:adjustRightInd w:val="0"/>
        <w:rPr>
          <w:noProof/>
        </w:rPr>
      </w:pPr>
      <w:r w:rsidRPr="00D27CA3">
        <w:rPr>
          <w:noProof/>
        </w:rPr>
        <w:t xml:space="preserve">Broberg, O. (2000). Design of New Food Technology: Social Shaping of Working Environment. </w:t>
      </w:r>
      <w:r w:rsidRPr="00D27CA3">
        <w:rPr>
          <w:i/>
          <w:iCs/>
          <w:noProof/>
        </w:rPr>
        <w:t>Proceedings of the Human Factors and Ergonomics Society Annual Meeting</w:t>
      </w:r>
      <w:r w:rsidRPr="00D27CA3">
        <w:rPr>
          <w:noProof/>
        </w:rPr>
        <w:t xml:space="preserve">, </w:t>
      </w:r>
      <w:r w:rsidRPr="00D27CA3">
        <w:rPr>
          <w:i/>
          <w:iCs/>
          <w:noProof/>
        </w:rPr>
        <w:t>44</w:t>
      </w:r>
      <w:r w:rsidRPr="00D27CA3">
        <w:rPr>
          <w:noProof/>
        </w:rPr>
        <w:t>(8), 16–19. https://doi.org/10.1177/154193120004400804</w:t>
      </w:r>
    </w:p>
    <w:p w:rsidR="00D27CA3" w:rsidRPr="00D27CA3" w:rsidRDefault="00D27CA3" w:rsidP="00D27CA3">
      <w:pPr>
        <w:pStyle w:val="ListParagraph"/>
        <w:numPr>
          <w:ilvl w:val="0"/>
          <w:numId w:val="9"/>
        </w:numPr>
        <w:adjustRightInd w:val="0"/>
        <w:rPr>
          <w:noProof/>
        </w:rPr>
      </w:pPr>
      <w:r w:rsidRPr="00D27CA3">
        <w:rPr>
          <w:noProof/>
        </w:rPr>
        <w:t xml:space="preserve">Christianto, H. (2020). Penggunaan Media Internet dalam Pemenuhan Hak atas Pendidikan di Masa Pandemi Covid-19: Perspektif Hak Asasi Manusia dan Hukum Pidana. </w:t>
      </w:r>
      <w:r w:rsidRPr="00D27CA3">
        <w:rPr>
          <w:i/>
          <w:iCs/>
          <w:noProof/>
        </w:rPr>
        <w:t>Jurnal HAM</w:t>
      </w:r>
      <w:r w:rsidRPr="00D27CA3">
        <w:rPr>
          <w:noProof/>
        </w:rPr>
        <w:t xml:space="preserve">, </w:t>
      </w:r>
      <w:r w:rsidRPr="00D27CA3">
        <w:rPr>
          <w:i/>
          <w:iCs/>
          <w:noProof/>
        </w:rPr>
        <w:t>11</w:t>
      </w:r>
      <w:r w:rsidRPr="00D27CA3">
        <w:rPr>
          <w:noProof/>
        </w:rPr>
        <w:t>(2). https://doi.org/10.30641/ham.2020.11.239-253</w:t>
      </w:r>
    </w:p>
    <w:p w:rsidR="00D27CA3" w:rsidRPr="00D27CA3" w:rsidRDefault="00D27CA3" w:rsidP="00D27CA3">
      <w:pPr>
        <w:pStyle w:val="ListParagraph"/>
        <w:numPr>
          <w:ilvl w:val="0"/>
          <w:numId w:val="9"/>
        </w:numPr>
        <w:adjustRightInd w:val="0"/>
        <w:rPr>
          <w:noProof/>
        </w:rPr>
      </w:pPr>
      <w:r w:rsidRPr="00D27CA3">
        <w:rPr>
          <w:noProof/>
        </w:rPr>
        <w:t xml:space="preserve">Darras, K. E., Spouge, R. J., de Bruin, A. B. H., Sedlic, A., Hague, C., &amp; Forster, B. B. (2020). Undergraduate Radiology Education During the COVID-19 Pandemic: A Review of Teaching and Learning Strategies. </w:t>
      </w:r>
      <w:r w:rsidRPr="00D27CA3">
        <w:rPr>
          <w:i/>
          <w:iCs/>
          <w:noProof/>
        </w:rPr>
        <w:t>Canadian Association of Radiologists Journal</w:t>
      </w:r>
      <w:r w:rsidRPr="00D27CA3">
        <w:rPr>
          <w:noProof/>
        </w:rPr>
        <w:t>, 0846537120944821. https://doi.org/10.1177/0846537120944821</w:t>
      </w:r>
    </w:p>
    <w:p w:rsidR="00D27CA3" w:rsidRPr="00D27CA3" w:rsidRDefault="00D27CA3" w:rsidP="00D27CA3">
      <w:pPr>
        <w:pStyle w:val="ListParagraph"/>
        <w:numPr>
          <w:ilvl w:val="0"/>
          <w:numId w:val="9"/>
        </w:numPr>
        <w:adjustRightInd w:val="0"/>
        <w:rPr>
          <w:noProof/>
        </w:rPr>
      </w:pPr>
      <w:r w:rsidRPr="00D27CA3">
        <w:rPr>
          <w:noProof/>
        </w:rPr>
        <w:t xml:space="preserve">Edwin, Y. (2017). 10 Fakta pengguna internet di Indonesia dan dunia. </w:t>
      </w:r>
      <w:r w:rsidRPr="00D27CA3">
        <w:rPr>
          <w:i/>
          <w:iCs/>
          <w:noProof/>
        </w:rPr>
        <w:t>Beritagar.Id</w:t>
      </w:r>
      <w:r w:rsidRPr="00D27CA3">
        <w:rPr>
          <w:noProof/>
        </w:rPr>
        <w:t>.</w:t>
      </w:r>
    </w:p>
    <w:p w:rsidR="00D27CA3" w:rsidRPr="00D27CA3" w:rsidRDefault="00D27CA3" w:rsidP="00D27CA3">
      <w:pPr>
        <w:pStyle w:val="ListParagraph"/>
        <w:numPr>
          <w:ilvl w:val="0"/>
          <w:numId w:val="9"/>
        </w:numPr>
        <w:adjustRightInd w:val="0"/>
        <w:rPr>
          <w:noProof/>
        </w:rPr>
      </w:pPr>
      <w:r w:rsidRPr="00D27CA3">
        <w:rPr>
          <w:noProof/>
        </w:rPr>
        <w:t xml:space="preserve">Elliott, C. (2015). Interpreting the Contours of Self-Defence within the Boundaries of the Rule of Law, the Common Law and Human Rights. </w:t>
      </w:r>
      <w:r w:rsidRPr="00D27CA3">
        <w:rPr>
          <w:i/>
          <w:iCs/>
          <w:noProof/>
        </w:rPr>
        <w:t>The Journal of Criminal Law</w:t>
      </w:r>
      <w:r w:rsidRPr="00D27CA3">
        <w:rPr>
          <w:noProof/>
        </w:rPr>
        <w:t xml:space="preserve">, </w:t>
      </w:r>
      <w:r w:rsidRPr="00D27CA3">
        <w:rPr>
          <w:i/>
          <w:iCs/>
          <w:noProof/>
        </w:rPr>
        <w:t>79</w:t>
      </w:r>
      <w:r w:rsidRPr="00D27CA3">
        <w:rPr>
          <w:noProof/>
        </w:rPr>
        <w:t>(5), 330–343. https://doi.org/10.1177/0022018315603591</w:t>
      </w:r>
    </w:p>
    <w:p w:rsidR="00D27CA3" w:rsidRPr="00D27CA3" w:rsidRDefault="00D27CA3" w:rsidP="00D27CA3">
      <w:pPr>
        <w:pStyle w:val="ListParagraph"/>
        <w:numPr>
          <w:ilvl w:val="0"/>
          <w:numId w:val="9"/>
        </w:numPr>
        <w:adjustRightInd w:val="0"/>
        <w:rPr>
          <w:noProof/>
        </w:rPr>
      </w:pPr>
      <w:r w:rsidRPr="00D27CA3">
        <w:rPr>
          <w:noProof/>
        </w:rPr>
        <w:t xml:space="preserve">Fauzi, W. I., &amp; Ali, Y. F. (2017). ALAM BERKEMBANG MENJADI GURU (Nilai-Nilai Kehidupan Buya Hamka sebagai Sumber Pembelajaran Nilai di IPS). </w:t>
      </w:r>
      <w:r w:rsidRPr="00D27CA3">
        <w:rPr>
          <w:i/>
          <w:iCs/>
          <w:noProof/>
        </w:rPr>
        <w:t>SOSIO DIDAKTIKA: Social Science Education Journal</w:t>
      </w:r>
      <w:r w:rsidRPr="00D27CA3">
        <w:rPr>
          <w:noProof/>
        </w:rPr>
        <w:t xml:space="preserve">, </w:t>
      </w:r>
      <w:r w:rsidRPr="00D27CA3">
        <w:rPr>
          <w:i/>
          <w:iCs/>
          <w:noProof/>
        </w:rPr>
        <w:t>4</w:t>
      </w:r>
      <w:r w:rsidRPr="00D27CA3">
        <w:rPr>
          <w:noProof/>
        </w:rPr>
        <w:t>(2). https://doi.org/10.15408/sd.v4i2.7991</w:t>
      </w:r>
    </w:p>
    <w:p w:rsidR="00D27CA3" w:rsidRPr="00D27CA3" w:rsidRDefault="00D27CA3" w:rsidP="00D27CA3">
      <w:pPr>
        <w:pStyle w:val="ListParagraph"/>
        <w:numPr>
          <w:ilvl w:val="0"/>
          <w:numId w:val="9"/>
        </w:numPr>
        <w:adjustRightInd w:val="0"/>
        <w:rPr>
          <w:noProof/>
        </w:rPr>
      </w:pPr>
      <w:r w:rsidRPr="00D27CA3">
        <w:rPr>
          <w:noProof/>
        </w:rPr>
        <w:t xml:space="preserve">Forssell, A. (2015). School and the future: How teachers and teacher education are articulated in the political debate. </w:t>
      </w:r>
      <w:r w:rsidRPr="00D27CA3">
        <w:rPr>
          <w:i/>
          <w:iCs/>
          <w:noProof/>
        </w:rPr>
        <w:t>Policy Futures in Education</w:t>
      </w:r>
      <w:r w:rsidRPr="00D27CA3">
        <w:rPr>
          <w:noProof/>
        </w:rPr>
        <w:t xml:space="preserve">, </w:t>
      </w:r>
      <w:r w:rsidRPr="00D27CA3">
        <w:rPr>
          <w:i/>
          <w:iCs/>
          <w:noProof/>
        </w:rPr>
        <w:t>13</w:t>
      </w:r>
      <w:r w:rsidRPr="00D27CA3">
        <w:rPr>
          <w:noProof/>
        </w:rPr>
        <w:t>(6), 712–731. https://doi.org/10.1177/1478210315595164</w:t>
      </w:r>
    </w:p>
    <w:p w:rsidR="00D27CA3" w:rsidRPr="00D27CA3" w:rsidRDefault="00D27CA3" w:rsidP="00D27CA3">
      <w:pPr>
        <w:pStyle w:val="ListParagraph"/>
        <w:numPr>
          <w:ilvl w:val="0"/>
          <w:numId w:val="9"/>
        </w:numPr>
        <w:adjustRightInd w:val="0"/>
        <w:rPr>
          <w:noProof/>
        </w:rPr>
      </w:pPr>
      <w:r w:rsidRPr="00D27CA3">
        <w:rPr>
          <w:noProof/>
        </w:rPr>
        <w:t xml:space="preserve">Hidayah, Y. (2020). </w:t>
      </w:r>
      <w:r w:rsidRPr="00D27CA3">
        <w:rPr>
          <w:i/>
          <w:iCs/>
          <w:noProof/>
        </w:rPr>
        <w:t>Thesis: PENGEMBANGAN MODEL BELAJAR KETERLIBATAN (MBK) UNTUK MEMPERKUAT PARTISIPASI POLITIK DAN CIVIC ENGAGEMENT WARGA NEGARA MUDA DI ERA DIGITAL</w:t>
      </w:r>
      <w:r w:rsidRPr="00D27CA3">
        <w:rPr>
          <w:noProof/>
        </w:rPr>
        <w:t>. Bandung: Universitas Pendidikan Indonesia.</w:t>
      </w:r>
    </w:p>
    <w:p w:rsidR="00D27CA3" w:rsidRPr="00D27CA3" w:rsidRDefault="00D27CA3" w:rsidP="00D27CA3">
      <w:pPr>
        <w:pStyle w:val="ListParagraph"/>
        <w:numPr>
          <w:ilvl w:val="0"/>
          <w:numId w:val="9"/>
        </w:numPr>
        <w:adjustRightInd w:val="0"/>
        <w:rPr>
          <w:noProof/>
        </w:rPr>
      </w:pPr>
      <w:r w:rsidRPr="00D27CA3">
        <w:rPr>
          <w:noProof/>
        </w:rPr>
        <w:t xml:space="preserve">Imig, D. G., &amp; Imig, S. R. (2006). The Teacher Effectiveness Movement: How 80 Years of Essentialist Control Have Shaped the Teacher Education Profession. </w:t>
      </w:r>
      <w:r w:rsidRPr="00D27CA3">
        <w:rPr>
          <w:i/>
          <w:iCs/>
          <w:noProof/>
        </w:rPr>
        <w:t>Journal of Teacher Education</w:t>
      </w:r>
      <w:r w:rsidRPr="00D27CA3">
        <w:rPr>
          <w:noProof/>
        </w:rPr>
        <w:t xml:space="preserve">, </w:t>
      </w:r>
      <w:r w:rsidRPr="00D27CA3">
        <w:rPr>
          <w:i/>
          <w:iCs/>
          <w:noProof/>
        </w:rPr>
        <w:t>57</w:t>
      </w:r>
      <w:r w:rsidRPr="00D27CA3">
        <w:rPr>
          <w:noProof/>
        </w:rPr>
        <w:t>(2), 167–180. https://doi.org/10.1177/0022487105285672</w:t>
      </w:r>
    </w:p>
    <w:p w:rsidR="00D27CA3" w:rsidRPr="00D27CA3" w:rsidRDefault="00D27CA3" w:rsidP="00D27CA3">
      <w:pPr>
        <w:pStyle w:val="ListParagraph"/>
        <w:numPr>
          <w:ilvl w:val="0"/>
          <w:numId w:val="9"/>
        </w:numPr>
        <w:adjustRightInd w:val="0"/>
        <w:rPr>
          <w:noProof/>
        </w:rPr>
      </w:pPr>
      <w:r w:rsidRPr="00D27CA3">
        <w:rPr>
          <w:noProof/>
        </w:rPr>
        <w:t xml:space="preserve">Jiang, Y., Zhang, J., &amp; Xin, T. (2018). Toward Education Quality Improvement in China: A Brief Overview of the National Assessment of Education Quality. </w:t>
      </w:r>
      <w:r w:rsidRPr="00D27CA3">
        <w:rPr>
          <w:i/>
          <w:iCs/>
          <w:noProof/>
        </w:rPr>
        <w:t>Journal of Educational and Behavioral Statistics</w:t>
      </w:r>
      <w:r w:rsidRPr="00D27CA3">
        <w:rPr>
          <w:noProof/>
        </w:rPr>
        <w:t xml:space="preserve">, </w:t>
      </w:r>
      <w:r w:rsidRPr="00D27CA3">
        <w:rPr>
          <w:i/>
          <w:iCs/>
          <w:noProof/>
        </w:rPr>
        <w:t>44</w:t>
      </w:r>
      <w:r w:rsidRPr="00D27CA3">
        <w:rPr>
          <w:noProof/>
        </w:rPr>
        <w:t>(6), 733–751. https://doi.org/10.3102/1076998618809677</w:t>
      </w:r>
    </w:p>
    <w:p w:rsidR="00D27CA3" w:rsidRPr="00D27CA3" w:rsidRDefault="00D27CA3" w:rsidP="00D27CA3">
      <w:pPr>
        <w:pStyle w:val="ListParagraph"/>
        <w:numPr>
          <w:ilvl w:val="0"/>
          <w:numId w:val="9"/>
        </w:numPr>
        <w:adjustRightInd w:val="0"/>
        <w:rPr>
          <w:noProof/>
        </w:rPr>
      </w:pPr>
      <w:r w:rsidRPr="00D27CA3">
        <w:rPr>
          <w:noProof/>
        </w:rPr>
        <w:t xml:space="preserve">Jin, D. Y. (2017). Construction of digital Korea: the evolution of new communication technologies in the 21st century. </w:t>
      </w:r>
      <w:r w:rsidRPr="00D27CA3">
        <w:rPr>
          <w:i/>
          <w:iCs/>
          <w:noProof/>
        </w:rPr>
        <w:t>Media, Culture &amp; Society</w:t>
      </w:r>
      <w:r w:rsidRPr="00D27CA3">
        <w:rPr>
          <w:noProof/>
        </w:rPr>
        <w:t xml:space="preserve">, </w:t>
      </w:r>
      <w:r w:rsidRPr="00D27CA3">
        <w:rPr>
          <w:i/>
          <w:iCs/>
          <w:noProof/>
        </w:rPr>
        <w:t>39</w:t>
      </w:r>
      <w:r w:rsidRPr="00D27CA3">
        <w:rPr>
          <w:noProof/>
        </w:rPr>
        <w:t>(5), 715–726. https://doi.org/10.1177/0163443717709441</w:t>
      </w:r>
    </w:p>
    <w:p w:rsidR="00D27CA3" w:rsidRPr="00D27CA3" w:rsidRDefault="00D27CA3" w:rsidP="00D27CA3">
      <w:pPr>
        <w:pStyle w:val="ListParagraph"/>
        <w:numPr>
          <w:ilvl w:val="0"/>
          <w:numId w:val="9"/>
        </w:numPr>
        <w:adjustRightInd w:val="0"/>
        <w:rPr>
          <w:noProof/>
        </w:rPr>
      </w:pPr>
      <w:r w:rsidRPr="00D27CA3">
        <w:rPr>
          <w:noProof/>
        </w:rPr>
        <w:t xml:space="preserve">Kar, S. K., Dwivedi, S., Maurya, A. K., Singh, M., Kumar, R., Kumar, P., … Mallick, A. (2020). Enhancing Preparedness Among Frontline Doctors During COVID-19 Pandemic: Learning from Experience. </w:t>
      </w:r>
      <w:r w:rsidRPr="00D27CA3">
        <w:rPr>
          <w:i/>
          <w:iCs/>
          <w:noProof/>
        </w:rPr>
        <w:t>Indian Journal of Psychological Medicine</w:t>
      </w:r>
      <w:r w:rsidRPr="00D27CA3">
        <w:rPr>
          <w:noProof/>
        </w:rPr>
        <w:t xml:space="preserve">, </w:t>
      </w:r>
      <w:r w:rsidRPr="00D27CA3">
        <w:rPr>
          <w:i/>
          <w:iCs/>
          <w:noProof/>
        </w:rPr>
        <w:t>42</w:t>
      </w:r>
      <w:r w:rsidRPr="00D27CA3">
        <w:rPr>
          <w:noProof/>
        </w:rPr>
        <w:t>(5), 489–491. https://doi.org/10.1177/0253717620952052</w:t>
      </w:r>
    </w:p>
    <w:p w:rsidR="00D27CA3" w:rsidRPr="00D27CA3" w:rsidRDefault="00D27CA3" w:rsidP="00D27CA3">
      <w:pPr>
        <w:pStyle w:val="ListParagraph"/>
        <w:numPr>
          <w:ilvl w:val="0"/>
          <w:numId w:val="9"/>
        </w:numPr>
        <w:adjustRightInd w:val="0"/>
        <w:rPr>
          <w:noProof/>
        </w:rPr>
      </w:pPr>
      <w:r w:rsidRPr="00D27CA3">
        <w:rPr>
          <w:noProof/>
        </w:rPr>
        <w:t xml:space="preserve">Lahlou, S. (2008). Identity, social status, privacy and face-keeping in digital society. </w:t>
      </w:r>
      <w:r w:rsidRPr="00D27CA3">
        <w:rPr>
          <w:i/>
          <w:iCs/>
          <w:noProof/>
        </w:rPr>
        <w:t>Social Science Information</w:t>
      </w:r>
      <w:r w:rsidRPr="00D27CA3">
        <w:rPr>
          <w:noProof/>
        </w:rPr>
        <w:t xml:space="preserve">, </w:t>
      </w:r>
      <w:r w:rsidRPr="00D27CA3">
        <w:rPr>
          <w:i/>
          <w:iCs/>
          <w:noProof/>
        </w:rPr>
        <w:t>47</w:t>
      </w:r>
      <w:r w:rsidRPr="00D27CA3">
        <w:rPr>
          <w:noProof/>
        </w:rPr>
        <w:t>(3), 299–330. https://doi.org/10.1177/0539018408092575</w:t>
      </w:r>
    </w:p>
    <w:p w:rsidR="00D27CA3" w:rsidRPr="00D27CA3" w:rsidRDefault="00D27CA3" w:rsidP="00D27CA3">
      <w:pPr>
        <w:pStyle w:val="ListParagraph"/>
        <w:numPr>
          <w:ilvl w:val="0"/>
          <w:numId w:val="9"/>
        </w:numPr>
        <w:adjustRightInd w:val="0"/>
        <w:rPr>
          <w:noProof/>
        </w:rPr>
      </w:pPr>
      <w:r w:rsidRPr="00D27CA3">
        <w:rPr>
          <w:noProof/>
        </w:rPr>
        <w:t xml:space="preserve">Law, K. K. (2013). Managing Knowledge Transfer—A Communication-appropriation Perspective. </w:t>
      </w:r>
      <w:r w:rsidRPr="00D27CA3">
        <w:rPr>
          <w:i/>
          <w:iCs/>
          <w:noProof/>
        </w:rPr>
        <w:t>Asia-Pacific Journal of Management Research and Innovation</w:t>
      </w:r>
      <w:r w:rsidRPr="00D27CA3">
        <w:rPr>
          <w:noProof/>
        </w:rPr>
        <w:t xml:space="preserve">, </w:t>
      </w:r>
      <w:r w:rsidRPr="00D27CA3">
        <w:rPr>
          <w:i/>
          <w:iCs/>
          <w:noProof/>
        </w:rPr>
        <w:t>9</w:t>
      </w:r>
      <w:r w:rsidRPr="00D27CA3">
        <w:rPr>
          <w:noProof/>
        </w:rPr>
        <w:t>(4), 359–367. https://doi.org/10.1177/2319510X14523103</w:t>
      </w:r>
    </w:p>
    <w:p w:rsidR="00D27CA3" w:rsidRPr="00D27CA3" w:rsidRDefault="00D27CA3" w:rsidP="00D27CA3">
      <w:pPr>
        <w:pStyle w:val="ListParagraph"/>
        <w:numPr>
          <w:ilvl w:val="0"/>
          <w:numId w:val="9"/>
        </w:numPr>
        <w:adjustRightInd w:val="0"/>
        <w:rPr>
          <w:noProof/>
        </w:rPr>
      </w:pPr>
      <w:r w:rsidRPr="00D27CA3">
        <w:rPr>
          <w:noProof/>
        </w:rPr>
        <w:t xml:space="preserve">Lawrence, G., Ahmed, F., Cole, C., &amp; Johnston, K. P. (2020). Not More Technology but More Effective Technology: Examining the State of Technology Integration in EAP Programmes. </w:t>
      </w:r>
      <w:r w:rsidRPr="00D27CA3">
        <w:rPr>
          <w:i/>
          <w:iCs/>
          <w:noProof/>
        </w:rPr>
        <w:t>RELC Journal</w:t>
      </w:r>
      <w:r w:rsidRPr="00D27CA3">
        <w:rPr>
          <w:noProof/>
        </w:rPr>
        <w:t xml:space="preserve">, </w:t>
      </w:r>
      <w:r w:rsidRPr="00D27CA3">
        <w:rPr>
          <w:i/>
          <w:iCs/>
          <w:noProof/>
        </w:rPr>
        <w:t>51</w:t>
      </w:r>
      <w:r w:rsidRPr="00D27CA3">
        <w:rPr>
          <w:noProof/>
        </w:rPr>
        <w:t>(1), 101–116. https://doi.org/10.1177/0033688220907199</w:t>
      </w:r>
    </w:p>
    <w:p w:rsidR="00D27CA3" w:rsidRPr="00D27CA3" w:rsidRDefault="00D27CA3" w:rsidP="00D27CA3">
      <w:pPr>
        <w:pStyle w:val="ListParagraph"/>
        <w:numPr>
          <w:ilvl w:val="0"/>
          <w:numId w:val="9"/>
        </w:numPr>
        <w:adjustRightInd w:val="0"/>
        <w:rPr>
          <w:noProof/>
        </w:rPr>
      </w:pPr>
      <w:r w:rsidRPr="00D27CA3">
        <w:rPr>
          <w:noProof/>
        </w:rPr>
        <w:lastRenderedPageBreak/>
        <w:t xml:space="preserve">Miller, A., Eather, N., Gray, S., Sproule, J., Williams, C., Gore, J., &amp; Lubans, D. (2016). Can continuing professional development utilizing a game-centred approach improve the quality of physical education teaching delivered by generalist primary school teachers? </w:t>
      </w:r>
      <w:r w:rsidRPr="00D27CA3">
        <w:rPr>
          <w:i/>
          <w:iCs/>
          <w:noProof/>
        </w:rPr>
        <w:t>European Physical Education Review</w:t>
      </w:r>
      <w:r w:rsidRPr="00D27CA3">
        <w:rPr>
          <w:noProof/>
        </w:rPr>
        <w:t xml:space="preserve">, </w:t>
      </w:r>
      <w:r w:rsidRPr="00D27CA3">
        <w:rPr>
          <w:i/>
          <w:iCs/>
          <w:noProof/>
        </w:rPr>
        <w:t>23</w:t>
      </w:r>
      <w:r w:rsidRPr="00D27CA3">
        <w:rPr>
          <w:noProof/>
        </w:rPr>
        <w:t>(2), 171–195. https://doi.org/10.1177/1356336X16642716</w:t>
      </w:r>
    </w:p>
    <w:p w:rsidR="00D27CA3" w:rsidRPr="00D27CA3" w:rsidRDefault="00D27CA3" w:rsidP="00D27CA3">
      <w:pPr>
        <w:pStyle w:val="ListParagraph"/>
        <w:numPr>
          <w:ilvl w:val="0"/>
          <w:numId w:val="9"/>
        </w:numPr>
        <w:adjustRightInd w:val="0"/>
        <w:rPr>
          <w:noProof/>
        </w:rPr>
      </w:pPr>
      <w:r w:rsidRPr="00D27CA3">
        <w:rPr>
          <w:noProof/>
        </w:rPr>
        <w:t xml:space="preserve">Moleong, L. J. (2007). </w:t>
      </w:r>
      <w:r w:rsidRPr="00D27CA3">
        <w:rPr>
          <w:i/>
          <w:iCs/>
          <w:noProof/>
        </w:rPr>
        <w:t>Metodologi Penelitian Kualitatif</w:t>
      </w:r>
      <w:r w:rsidRPr="00D27CA3">
        <w:rPr>
          <w:noProof/>
        </w:rPr>
        <w:t>. Bandung: PT Remaja Rosdakarya.</w:t>
      </w:r>
    </w:p>
    <w:p w:rsidR="00D27CA3" w:rsidRPr="00D27CA3" w:rsidRDefault="00D27CA3" w:rsidP="00D27CA3">
      <w:pPr>
        <w:pStyle w:val="ListParagraph"/>
        <w:numPr>
          <w:ilvl w:val="0"/>
          <w:numId w:val="9"/>
        </w:numPr>
        <w:adjustRightInd w:val="0"/>
        <w:rPr>
          <w:noProof/>
        </w:rPr>
      </w:pPr>
      <w:r w:rsidRPr="00D27CA3">
        <w:rPr>
          <w:noProof/>
        </w:rPr>
        <w:t xml:space="preserve">Muthanna, A. (2015). Quality education improvement: Yemen and the problem of the ‘brain drain.’ </w:t>
      </w:r>
      <w:r w:rsidRPr="00D27CA3">
        <w:rPr>
          <w:i/>
          <w:iCs/>
          <w:noProof/>
        </w:rPr>
        <w:t>Policy Futures in Education</w:t>
      </w:r>
      <w:r w:rsidRPr="00D27CA3">
        <w:rPr>
          <w:noProof/>
        </w:rPr>
        <w:t xml:space="preserve">, </w:t>
      </w:r>
      <w:r w:rsidRPr="00D27CA3">
        <w:rPr>
          <w:i/>
          <w:iCs/>
          <w:noProof/>
        </w:rPr>
        <w:t>13</w:t>
      </w:r>
      <w:r w:rsidRPr="00D27CA3">
        <w:rPr>
          <w:noProof/>
        </w:rPr>
        <w:t>(1), 141–148. https://doi.org/10.1177/1478210314566734</w:t>
      </w:r>
    </w:p>
    <w:p w:rsidR="00D27CA3" w:rsidRPr="00D27CA3" w:rsidRDefault="00D27CA3" w:rsidP="00D27CA3">
      <w:pPr>
        <w:pStyle w:val="ListParagraph"/>
        <w:numPr>
          <w:ilvl w:val="0"/>
          <w:numId w:val="9"/>
        </w:numPr>
        <w:adjustRightInd w:val="0"/>
        <w:rPr>
          <w:noProof/>
        </w:rPr>
      </w:pPr>
      <w:r w:rsidRPr="00D27CA3">
        <w:rPr>
          <w:noProof/>
        </w:rPr>
        <w:t xml:space="preserve">Rajkovic, N. M. (2010). ‘Global law’ and governmentality: Reconceptualizing the ‘rule of law’ as rule ‘through’ law. </w:t>
      </w:r>
      <w:r w:rsidRPr="00D27CA3">
        <w:rPr>
          <w:i/>
          <w:iCs/>
          <w:noProof/>
        </w:rPr>
        <w:t>European Journal of International Relations</w:t>
      </w:r>
      <w:r w:rsidRPr="00D27CA3">
        <w:rPr>
          <w:noProof/>
        </w:rPr>
        <w:t xml:space="preserve">, </w:t>
      </w:r>
      <w:r w:rsidRPr="00D27CA3">
        <w:rPr>
          <w:i/>
          <w:iCs/>
          <w:noProof/>
        </w:rPr>
        <w:t>18</w:t>
      </w:r>
      <w:r w:rsidRPr="00D27CA3">
        <w:rPr>
          <w:noProof/>
        </w:rPr>
        <w:t>(1), 29–52. https://doi.org/10.1177/1354066110380966</w:t>
      </w:r>
    </w:p>
    <w:p w:rsidR="00D27CA3" w:rsidRPr="00D27CA3" w:rsidRDefault="00D27CA3" w:rsidP="00D27CA3">
      <w:pPr>
        <w:pStyle w:val="ListParagraph"/>
        <w:numPr>
          <w:ilvl w:val="0"/>
          <w:numId w:val="9"/>
        </w:numPr>
        <w:adjustRightInd w:val="0"/>
        <w:rPr>
          <w:noProof/>
        </w:rPr>
      </w:pPr>
      <w:r w:rsidRPr="00D27CA3">
        <w:rPr>
          <w:noProof/>
        </w:rPr>
        <w:t xml:space="preserve">Ramadayanti, E. (2020). COVID-19 dalam Perspektif One Health Approach dan Law Enforcement. </w:t>
      </w:r>
      <w:r w:rsidRPr="00D27CA3">
        <w:rPr>
          <w:i/>
          <w:iCs/>
          <w:noProof/>
        </w:rPr>
        <w:t>Fh.Unpad.Ac.Id</w:t>
      </w:r>
      <w:r w:rsidRPr="00D27CA3">
        <w:rPr>
          <w:noProof/>
        </w:rPr>
        <w:t>. Retrieved from https://fh.unpad.ac.id/covid-19-dalam-perspektif-one-health-approach-dan-law-enforcement/</w:t>
      </w:r>
    </w:p>
    <w:p w:rsidR="00D27CA3" w:rsidRPr="00D27CA3" w:rsidRDefault="00D27CA3" w:rsidP="00D27CA3">
      <w:pPr>
        <w:pStyle w:val="ListParagraph"/>
        <w:numPr>
          <w:ilvl w:val="0"/>
          <w:numId w:val="9"/>
        </w:numPr>
        <w:adjustRightInd w:val="0"/>
        <w:rPr>
          <w:noProof/>
        </w:rPr>
      </w:pPr>
      <w:r w:rsidRPr="00D27CA3">
        <w:rPr>
          <w:noProof/>
        </w:rPr>
        <w:t xml:space="preserve">Rochmani. (2020). PENDIDIKAN Di MASA PANDEMI COVID 19. </w:t>
      </w:r>
      <w:r w:rsidRPr="00D27CA3">
        <w:rPr>
          <w:i/>
          <w:iCs/>
          <w:noProof/>
        </w:rPr>
        <w:t>Fh.Unisbank.Ac.Id</w:t>
      </w:r>
      <w:r w:rsidRPr="00D27CA3">
        <w:rPr>
          <w:noProof/>
        </w:rPr>
        <w:t>.</w:t>
      </w:r>
    </w:p>
    <w:p w:rsidR="00D27CA3" w:rsidRPr="00D27CA3" w:rsidRDefault="00D27CA3" w:rsidP="00D27CA3">
      <w:pPr>
        <w:pStyle w:val="ListParagraph"/>
        <w:numPr>
          <w:ilvl w:val="0"/>
          <w:numId w:val="9"/>
        </w:numPr>
        <w:adjustRightInd w:val="0"/>
        <w:rPr>
          <w:noProof/>
        </w:rPr>
      </w:pPr>
      <w:r w:rsidRPr="00D27CA3">
        <w:rPr>
          <w:noProof/>
        </w:rPr>
        <w:t xml:space="preserve">Saxena, C., Baber, H., &amp; Kumar, P. (2020). Examining the Moderating Effect of Perceived Benefits of Maintaining Social Distance on E-learning Quality During COVID-19 Pandemic. </w:t>
      </w:r>
      <w:r w:rsidRPr="00D27CA3">
        <w:rPr>
          <w:i/>
          <w:iCs/>
          <w:noProof/>
        </w:rPr>
        <w:t>Journal of Educational Technology Systems</w:t>
      </w:r>
      <w:r w:rsidRPr="00D27CA3">
        <w:rPr>
          <w:noProof/>
        </w:rPr>
        <w:t>, 0047239520977798. https://doi.org/10.1177/0047239520977798</w:t>
      </w:r>
    </w:p>
    <w:p w:rsidR="00D27CA3" w:rsidRPr="00D27CA3" w:rsidRDefault="00D27CA3" w:rsidP="00D27CA3">
      <w:pPr>
        <w:pStyle w:val="ListParagraph"/>
        <w:numPr>
          <w:ilvl w:val="0"/>
          <w:numId w:val="9"/>
        </w:numPr>
        <w:adjustRightInd w:val="0"/>
        <w:rPr>
          <w:noProof/>
        </w:rPr>
      </w:pPr>
      <w:r w:rsidRPr="00D27CA3">
        <w:rPr>
          <w:noProof/>
        </w:rPr>
        <w:t xml:space="preserve">Skaaning, S.-E. (2009). Measuring the Rule of Law. </w:t>
      </w:r>
      <w:r w:rsidRPr="00D27CA3">
        <w:rPr>
          <w:i/>
          <w:iCs/>
          <w:noProof/>
        </w:rPr>
        <w:t>Political Research Quarterly</w:t>
      </w:r>
      <w:r w:rsidRPr="00D27CA3">
        <w:rPr>
          <w:noProof/>
        </w:rPr>
        <w:t xml:space="preserve">, </w:t>
      </w:r>
      <w:r w:rsidRPr="00D27CA3">
        <w:rPr>
          <w:i/>
          <w:iCs/>
          <w:noProof/>
        </w:rPr>
        <w:t>63</w:t>
      </w:r>
      <w:r w:rsidRPr="00D27CA3">
        <w:rPr>
          <w:noProof/>
        </w:rPr>
        <w:t>(2), 449–460. https://doi.org/10.1177/1065912909346745</w:t>
      </w:r>
    </w:p>
    <w:p w:rsidR="00D27CA3" w:rsidRPr="00D27CA3" w:rsidRDefault="00D27CA3" w:rsidP="00D27CA3">
      <w:pPr>
        <w:pStyle w:val="ListParagraph"/>
        <w:numPr>
          <w:ilvl w:val="0"/>
          <w:numId w:val="9"/>
        </w:numPr>
        <w:adjustRightInd w:val="0"/>
        <w:rPr>
          <w:noProof/>
        </w:rPr>
      </w:pPr>
      <w:r w:rsidRPr="00D27CA3">
        <w:rPr>
          <w:noProof/>
        </w:rPr>
        <w:t xml:space="preserve">Ståhle, Y., &amp; Aspán, M. (2019). Teacher Students’ Experienced Challenges in the Beginning of Their Education. </w:t>
      </w:r>
      <w:r w:rsidRPr="00D27CA3">
        <w:rPr>
          <w:i/>
          <w:iCs/>
          <w:noProof/>
        </w:rPr>
        <w:t>Journal of Education</w:t>
      </w:r>
      <w:r w:rsidRPr="00D27CA3">
        <w:rPr>
          <w:noProof/>
        </w:rPr>
        <w:t xml:space="preserve">, </w:t>
      </w:r>
      <w:r w:rsidRPr="00D27CA3">
        <w:rPr>
          <w:i/>
          <w:iCs/>
          <w:noProof/>
        </w:rPr>
        <w:t>199</w:t>
      </w:r>
      <w:r w:rsidRPr="00D27CA3">
        <w:rPr>
          <w:noProof/>
        </w:rPr>
        <w:t>(1), 3–12. https://doi.org/10.1177/0022057419834913</w:t>
      </w:r>
    </w:p>
    <w:p w:rsidR="00D27CA3" w:rsidRPr="00D27CA3" w:rsidRDefault="00D27CA3" w:rsidP="00D27CA3">
      <w:pPr>
        <w:pStyle w:val="ListParagraph"/>
        <w:numPr>
          <w:ilvl w:val="0"/>
          <w:numId w:val="9"/>
        </w:numPr>
        <w:adjustRightInd w:val="0"/>
        <w:rPr>
          <w:noProof/>
        </w:rPr>
      </w:pPr>
      <w:r w:rsidRPr="00D27CA3">
        <w:rPr>
          <w:noProof/>
        </w:rPr>
        <w:t xml:space="preserve">Suryono, K. E. (2020). Peranan Hukum Tata Negara dalam Pandemi Covid-19 dan Menuju ke Arah New Normal. </w:t>
      </w:r>
      <w:r w:rsidRPr="00D27CA3">
        <w:rPr>
          <w:i/>
          <w:iCs/>
          <w:noProof/>
        </w:rPr>
        <w:t>Http://New.Widyamataram.Ac.Id/</w:t>
      </w:r>
      <w:r w:rsidRPr="00D27CA3">
        <w:rPr>
          <w:noProof/>
        </w:rPr>
        <w:t>. Retrieved from http://new.widyamataram.ac.id/content/news/peranan-hukum-tata-negara-dalam-pandemi-covid-19-dan-menuju-ke-arah-new-normal#.X-liUukzZQI</w:t>
      </w:r>
    </w:p>
    <w:p w:rsidR="00D27CA3" w:rsidRPr="00D27CA3" w:rsidRDefault="00D27CA3" w:rsidP="00D27CA3">
      <w:pPr>
        <w:pStyle w:val="ListParagraph"/>
        <w:numPr>
          <w:ilvl w:val="0"/>
          <w:numId w:val="9"/>
        </w:numPr>
        <w:adjustRightInd w:val="0"/>
        <w:rPr>
          <w:noProof/>
        </w:rPr>
      </w:pPr>
      <w:r w:rsidRPr="00D27CA3">
        <w:rPr>
          <w:noProof/>
        </w:rPr>
        <w:t xml:space="preserve">Thompson, K. (2019). The rule of law, arbitrariness and institutional virtue. </w:t>
      </w:r>
      <w:r w:rsidRPr="00D27CA3">
        <w:rPr>
          <w:i/>
          <w:iCs/>
          <w:noProof/>
        </w:rPr>
        <w:t>Alternative Law Journal</w:t>
      </w:r>
      <w:r w:rsidRPr="00D27CA3">
        <w:rPr>
          <w:noProof/>
        </w:rPr>
        <w:t xml:space="preserve">, </w:t>
      </w:r>
      <w:r w:rsidRPr="00D27CA3">
        <w:rPr>
          <w:i/>
          <w:iCs/>
          <w:noProof/>
        </w:rPr>
        <w:t>44</w:t>
      </w:r>
      <w:r w:rsidRPr="00D27CA3">
        <w:rPr>
          <w:noProof/>
        </w:rPr>
        <w:t>(2), 159–163. https://doi.org/10.1177/1037969X19829850</w:t>
      </w:r>
    </w:p>
    <w:p w:rsidR="00D27CA3" w:rsidRPr="00D27CA3" w:rsidRDefault="00D27CA3" w:rsidP="00D27CA3">
      <w:pPr>
        <w:pStyle w:val="ListParagraph"/>
        <w:numPr>
          <w:ilvl w:val="0"/>
          <w:numId w:val="9"/>
        </w:numPr>
        <w:adjustRightInd w:val="0"/>
        <w:rPr>
          <w:noProof/>
        </w:rPr>
      </w:pPr>
      <w:r w:rsidRPr="00D27CA3">
        <w:rPr>
          <w:noProof/>
        </w:rPr>
        <w:t xml:space="preserve">Torah, R., Wei, Y., Grabham, N., Li, Y., de Vos, M., Todorov, T., … Tudor, J. (2019). Enabling platform technology for smart fabric design and printing. </w:t>
      </w:r>
      <w:r w:rsidRPr="00D27CA3">
        <w:rPr>
          <w:i/>
          <w:iCs/>
          <w:noProof/>
        </w:rPr>
        <w:t>Journal of Engineered Fibers and Fabrics</w:t>
      </w:r>
      <w:r w:rsidRPr="00D27CA3">
        <w:rPr>
          <w:noProof/>
        </w:rPr>
        <w:t xml:space="preserve">, </w:t>
      </w:r>
      <w:r w:rsidRPr="00D27CA3">
        <w:rPr>
          <w:i/>
          <w:iCs/>
          <w:noProof/>
        </w:rPr>
        <w:t>14</w:t>
      </w:r>
      <w:r w:rsidRPr="00D27CA3">
        <w:rPr>
          <w:noProof/>
        </w:rPr>
        <w:t>, 1558925019845903. https://doi.org/10.1177/1558925019845903</w:t>
      </w:r>
    </w:p>
    <w:p w:rsidR="00D27CA3" w:rsidRPr="00D27CA3" w:rsidRDefault="00D27CA3" w:rsidP="00D27CA3">
      <w:pPr>
        <w:pStyle w:val="ListParagraph"/>
        <w:numPr>
          <w:ilvl w:val="0"/>
          <w:numId w:val="9"/>
        </w:numPr>
        <w:adjustRightInd w:val="0"/>
        <w:rPr>
          <w:noProof/>
        </w:rPr>
      </w:pPr>
      <w:r w:rsidRPr="00D27CA3">
        <w:rPr>
          <w:noProof/>
        </w:rPr>
        <w:t xml:space="preserve">Trihastuti, M., Dewie, D. A., &amp; Hidayah, Y. (2020). Increasing Students’ Entrepreneurship Awareness through Citizenship Knowledge (A Study on Students at STKIP Pasundan Cimahi). </w:t>
      </w:r>
      <w:r w:rsidRPr="00D27CA3">
        <w:rPr>
          <w:i/>
          <w:iCs/>
          <w:noProof/>
        </w:rPr>
        <w:t>American Journal of Multidisciplinary Research &amp; Development (AJMRD)</w:t>
      </w:r>
      <w:r w:rsidRPr="00D27CA3">
        <w:rPr>
          <w:noProof/>
        </w:rPr>
        <w:t xml:space="preserve">, </w:t>
      </w:r>
      <w:r w:rsidRPr="00D27CA3">
        <w:rPr>
          <w:i/>
          <w:iCs/>
          <w:noProof/>
        </w:rPr>
        <w:t>2</w:t>
      </w:r>
      <w:r w:rsidRPr="00D27CA3">
        <w:rPr>
          <w:noProof/>
        </w:rPr>
        <w:t>(9), 09–15.</w:t>
      </w:r>
    </w:p>
    <w:p w:rsidR="00D27CA3" w:rsidRPr="00D27CA3" w:rsidRDefault="00D27CA3" w:rsidP="00D27CA3">
      <w:pPr>
        <w:pStyle w:val="ListParagraph"/>
        <w:numPr>
          <w:ilvl w:val="0"/>
          <w:numId w:val="9"/>
        </w:numPr>
        <w:adjustRightInd w:val="0"/>
        <w:rPr>
          <w:noProof/>
        </w:rPr>
      </w:pPr>
      <w:r w:rsidRPr="00D27CA3">
        <w:rPr>
          <w:noProof/>
        </w:rPr>
        <w:t xml:space="preserve">Zassoursky, Y. N. (2002). Media and Communications as the Vehicle of the Open Society: The Internet and the Global Society. </w:t>
      </w:r>
      <w:r w:rsidRPr="00D27CA3">
        <w:rPr>
          <w:i/>
          <w:iCs/>
          <w:noProof/>
        </w:rPr>
        <w:t>Gazette (Leiden, Netherlands)</w:t>
      </w:r>
      <w:r w:rsidRPr="00D27CA3">
        <w:rPr>
          <w:noProof/>
        </w:rPr>
        <w:t xml:space="preserve">, </w:t>
      </w:r>
      <w:r w:rsidRPr="00D27CA3">
        <w:rPr>
          <w:i/>
          <w:iCs/>
          <w:noProof/>
        </w:rPr>
        <w:t>64</w:t>
      </w:r>
      <w:r w:rsidRPr="00D27CA3">
        <w:rPr>
          <w:noProof/>
        </w:rPr>
        <w:t>(5), 425–432. https://doi.org/10.1177/17480485020640050301</w:t>
      </w:r>
    </w:p>
    <w:p w:rsidR="00D27CA3" w:rsidRPr="00D27CA3" w:rsidRDefault="00D27CA3" w:rsidP="00D27CA3">
      <w:pPr>
        <w:pStyle w:val="ListParagraph"/>
        <w:numPr>
          <w:ilvl w:val="0"/>
          <w:numId w:val="9"/>
        </w:numPr>
        <w:adjustRightInd w:val="0"/>
        <w:rPr>
          <w:noProof/>
        </w:rPr>
      </w:pPr>
      <w:r w:rsidRPr="00D27CA3">
        <w:rPr>
          <w:noProof/>
        </w:rPr>
        <w:t xml:space="preserve">Zhao, M., Lin, Y., &amp; Derudder, B. (2017). Demonstration of public participation and communication through social media in the network society within Shanghai. </w:t>
      </w:r>
      <w:r w:rsidRPr="00D27CA3">
        <w:rPr>
          <w:i/>
          <w:iCs/>
          <w:noProof/>
        </w:rPr>
        <w:t>Environment and Planning B: Urban Analytics and City Science</w:t>
      </w:r>
      <w:r w:rsidRPr="00D27CA3">
        <w:rPr>
          <w:noProof/>
        </w:rPr>
        <w:t xml:space="preserve">, </w:t>
      </w:r>
      <w:r w:rsidRPr="00D27CA3">
        <w:rPr>
          <w:i/>
          <w:iCs/>
          <w:noProof/>
        </w:rPr>
        <w:t>45</w:t>
      </w:r>
      <w:r w:rsidRPr="00D27CA3">
        <w:rPr>
          <w:noProof/>
        </w:rPr>
        <w:t>(3), 529–547. https://doi.org/10.1177/2399808317690154</w:t>
      </w:r>
    </w:p>
    <w:p w:rsidR="00D27CA3" w:rsidRPr="0003314D" w:rsidRDefault="00D27CA3" w:rsidP="00D27CA3">
      <w:pPr>
        <w:pStyle w:val="Heading1"/>
        <w:spacing w:before="123" w:line="250" w:lineRule="exact"/>
        <w:rPr>
          <w:b w:val="0"/>
          <w:bCs w:val="0"/>
        </w:rPr>
      </w:pPr>
      <w:r w:rsidRPr="00D27CA3">
        <w:fldChar w:fldCharType="end"/>
      </w:r>
    </w:p>
    <w:p w:rsidR="00DA04D7" w:rsidRDefault="00DA04D7" w:rsidP="00AE3609">
      <w:pPr>
        <w:pStyle w:val="Heading1"/>
        <w:spacing w:before="123" w:line="250" w:lineRule="exact"/>
      </w:pPr>
    </w:p>
    <w:sectPr w:rsidR="00DA04D7">
      <w:headerReference w:type="even" r:id="rId17"/>
      <w:headerReference w:type="default" r:id="rId18"/>
      <w:pgSz w:w="11910" w:h="16840"/>
      <w:pgMar w:top="880" w:right="380" w:bottom="880" w:left="940" w:header="678" w:footer="9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2B7" w:rsidRDefault="004572B7">
      <w:r>
        <w:separator/>
      </w:r>
    </w:p>
  </w:endnote>
  <w:endnote w:type="continuationSeparator" w:id="0">
    <w:p w:rsidR="004572B7" w:rsidRDefault="00457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2B7" w:rsidRDefault="004572B7">
      <w:r>
        <w:separator/>
      </w:r>
    </w:p>
  </w:footnote>
  <w:footnote w:type="continuationSeparator" w:id="0">
    <w:p w:rsidR="004572B7" w:rsidRDefault="00457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BB9" w:rsidRDefault="004572B7">
    <w:pPr>
      <w:pStyle w:val="BodyText"/>
      <w:spacing w:line="14" w:lineRule="auto"/>
      <w:rPr>
        <w:sz w:val="20"/>
      </w:rPr>
    </w:pPr>
    <w:r>
      <w:pict>
        <v:rect id="_x0000_s2051" style="position:absolute;margin-left:69.5pt;margin-top:44.15pt;width:484.7pt;height:.5pt;z-index:-16097280;mso-position-horizontal-relative:page;mso-position-vertical-relative:page" fillcolor="#d9d9d9" stroked="f">
          <w10:wrap anchorx="page" anchory="page"/>
        </v:rect>
      </w:pict>
    </w:r>
    <w:r>
      <w:pict>
        <v:shapetype id="_x0000_t202" coordsize="21600,21600" o:spt="202" path="m,l,21600r21600,l21600,xe">
          <v:stroke joinstyle="miter"/>
          <v:path gradientshapeok="t" o:connecttype="rect"/>
        </v:shapetype>
        <v:shape id="_x0000_s2050" type="#_x0000_t202" style="position:absolute;margin-left:314pt;margin-top:32.9pt;width:239.9pt;height:11.15pt;z-index:-16096768;mso-position-horizontal-relative:page;mso-position-vertical-relative:page" filled="f" stroked="f">
          <v:textbox style="mso-next-textbox:#_x0000_s2050" inset="0,0,0,0">
            <w:txbxContent>
              <w:p w:rsidR="00D70BB9" w:rsidRDefault="00FD4394">
                <w:pPr>
                  <w:spacing w:before="20"/>
                  <w:ind w:left="20"/>
                  <w:rPr>
                    <w:sz w:val="16"/>
                  </w:rPr>
                </w:pPr>
                <w:r>
                  <w:rPr>
                    <w:sz w:val="16"/>
                  </w:rPr>
                  <w:t>A</w:t>
                </w:r>
                <w:r>
                  <w:rPr>
                    <w:spacing w:val="-1"/>
                    <w:sz w:val="16"/>
                  </w:rPr>
                  <w:t>l</w:t>
                </w:r>
                <w:r>
                  <w:rPr>
                    <w:sz w:val="16"/>
                  </w:rPr>
                  <w:t>-</w:t>
                </w:r>
                <w:r>
                  <w:rPr>
                    <w:rFonts w:ascii="Times New Roman"/>
                    <w:spacing w:val="-2"/>
                    <w:sz w:val="16"/>
                  </w:rPr>
                  <w:t xml:space="preserve"> </w:t>
                </w:r>
                <w:r>
                  <w:rPr>
                    <w:spacing w:val="-1"/>
                    <w:sz w:val="16"/>
                  </w:rPr>
                  <w:t>I</w:t>
                </w:r>
                <w:r>
                  <w:rPr>
                    <w:sz w:val="16"/>
                  </w:rPr>
                  <w:t>sh</w:t>
                </w:r>
                <w:r>
                  <w:rPr>
                    <w:spacing w:val="-1"/>
                    <w:sz w:val="16"/>
                  </w:rPr>
                  <w:t>l</w:t>
                </w:r>
                <w:r>
                  <w:rPr>
                    <w:sz w:val="16"/>
                  </w:rPr>
                  <w:t>ah:</w:t>
                </w:r>
                <w:r>
                  <w:rPr>
                    <w:rFonts w:ascii="Times New Roman"/>
                    <w:spacing w:val="-4"/>
                    <w:sz w:val="16"/>
                  </w:rPr>
                  <w:t xml:space="preserve"> </w:t>
                </w:r>
                <w:r>
                  <w:rPr>
                    <w:sz w:val="16"/>
                  </w:rPr>
                  <w:t>J</w:t>
                </w:r>
                <w:r>
                  <w:rPr>
                    <w:spacing w:val="1"/>
                    <w:sz w:val="16"/>
                  </w:rPr>
                  <w:t>u</w:t>
                </w:r>
                <w:r>
                  <w:rPr>
                    <w:spacing w:val="-4"/>
                    <w:sz w:val="16"/>
                  </w:rPr>
                  <w:t>r</w:t>
                </w:r>
                <w:r>
                  <w:rPr>
                    <w:spacing w:val="1"/>
                    <w:sz w:val="16"/>
                  </w:rPr>
                  <w:t>n</w:t>
                </w:r>
                <w:r>
                  <w:rPr>
                    <w:sz w:val="16"/>
                  </w:rPr>
                  <w:t>al</w:t>
                </w:r>
                <w:r>
                  <w:rPr>
                    <w:rFonts w:ascii="Times New Roman"/>
                    <w:spacing w:val="-2"/>
                    <w:sz w:val="16"/>
                  </w:rPr>
                  <w:t xml:space="preserve"> </w:t>
                </w:r>
                <w:r>
                  <w:rPr>
                    <w:sz w:val="16"/>
                  </w:rPr>
                  <w:t>P</w:t>
                </w:r>
                <w:r>
                  <w:rPr>
                    <w:spacing w:val="-4"/>
                    <w:sz w:val="16"/>
                  </w:rPr>
                  <w:t>e</w:t>
                </w:r>
                <w:r>
                  <w:rPr>
                    <w:spacing w:val="1"/>
                    <w:sz w:val="16"/>
                  </w:rPr>
                  <w:t>n</w:t>
                </w:r>
                <w:r>
                  <w:rPr>
                    <w:spacing w:val="-2"/>
                    <w:sz w:val="16"/>
                  </w:rPr>
                  <w:t>d</w:t>
                </w:r>
                <w:r>
                  <w:rPr>
                    <w:sz w:val="16"/>
                  </w:rPr>
                  <w:t>i</w:t>
                </w:r>
                <w:r>
                  <w:rPr>
                    <w:spacing w:val="-2"/>
                    <w:sz w:val="16"/>
                  </w:rPr>
                  <w:t>d</w:t>
                </w:r>
                <w:r>
                  <w:rPr>
                    <w:sz w:val="16"/>
                  </w:rPr>
                  <w:t>i</w:t>
                </w:r>
                <w:r>
                  <w:rPr>
                    <w:spacing w:val="-3"/>
                    <w:sz w:val="16"/>
                  </w:rPr>
                  <w:t>k</w:t>
                </w:r>
                <w:r>
                  <w:rPr>
                    <w:sz w:val="16"/>
                  </w:rPr>
                  <w:t>a</w:t>
                </w:r>
                <w:r>
                  <w:rPr>
                    <w:spacing w:val="1"/>
                    <w:sz w:val="16"/>
                  </w:rPr>
                  <w:t>n</w:t>
                </w:r>
                <w:r>
                  <w:rPr>
                    <w:sz w:val="16"/>
                  </w:rPr>
                  <w:t>,</w:t>
                </w:r>
                <w:r>
                  <w:rPr>
                    <w:rFonts w:ascii="Times New Roman"/>
                    <w:spacing w:val="-2"/>
                    <w:sz w:val="16"/>
                  </w:rPr>
                  <w:t xml:space="preserve"> </w:t>
                </w:r>
                <w:r w:rsidR="006940E0">
                  <w:rPr>
                    <w:spacing w:val="-3"/>
                    <w:sz w:val="16"/>
                  </w:rPr>
                  <w:t>xxx</w:t>
                </w:r>
                <w:r>
                  <w:rPr>
                    <w:rFonts w:ascii="Times New Roman"/>
                    <w:spacing w:val="-2"/>
                    <w:sz w:val="16"/>
                  </w:rPr>
                  <w:t xml:space="preserve"> </w:t>
                </w:r>
                <w:r>
                  <w:rPr>
                    <w:smallCaps/>
                    <w:spacing w:val="-1"/>
                    <w:sz w:val="16"/>
                  </w:rPr>
                  <w:t>2</w:t>
                </w:r>
                <w:r>
                  <w:rPr>
                    <w:spacing w:val="-1"/>
                    <w:sz w:val="16"/>
                  </w:rPr>
                  <w:t>0</w:t>
                </w:r>
                <w:r>
                  <w:rPr>
                    <w:smallCaps/>
                    <w:spacing w:val="-1"/>
                    <w:sz w:val="16"/>
                  </w:rPr>
                  <w:t>2</w:t>
                </w:r>
                <w:r>
                  <w:rPr>
                    <w:smallCaps/>
                    <w:sz w:val="16"/>
                  </w:rPr>
                  <w:t>1</w:t>
                </w:r>
                <w:r>
                  <w:rPr>
                    <w:sz w:val="16"/>
                  </w:rPr>
                  <w:t>,</w:t>
                </w:r>
                <w:r>
                  <w:rPr>
                    <w:rFonts w:ascii="Times New Roman"/>
                    <w:spacing w:val="-2"/>
                    <w:sz w:val="16"/>
                  </w:rPr>
                  <w:t xml:space="preserve"> </w:t>
                </w:r>
                <w:r w:rsidR="006940E0">
                  <w:rPr>
                    <w:smallCaps/>
                    <w:sz w:val="16"/>
                  </w:rPr>
                  <w:t>xxx</w:t>
                </w:r>
                <w:r>
                  <w:rPr>
                    <w:rFonts w:ascii="Times New Roman"/>
                    <w:spacing w:val="-2"/>
                    <w:sz w:val="16"/>
                  </w:rPr>
                  <w:t xml:space="preserve"> </w:t>
                </w:r>
                <w:r>
                  <w:rPr>
                    <w:spacing w:val="-2"/>
                    <w:sz w:val="16"/>
                  </w:rPr>
                  <w:t>P</w:t>
                </w:r>
                <w:r>
                  <w:rPr>
                    <w:sz w:val="16"/>
                  </w:rPr>
                  <w:t>a</w:t>
                </w:r>
                <w:r>
                  <w:rPr>
                    <w:spacing w:val="-1"/>
                    <w:sz w:val="16"/>
                  </w:rPr>
                  <w:t>ge</w:t>
                </w:r>
                <w:r>
                  <w:rPr>
                    <w:sz w:val="16"/>
                  </w:rPr>
                  <w:t>s</w:t>
                </w:r>
                <w:r>
                  <w:rPr>
                    <w:rFonts w:ascii="Times New Roman"/>
                    <w:spacing w:val="-2"/>
                    <w:sz w:val="16"/>
                  </w:rPr>
                  <w:t xml:space="preserve"> </w:t>
                </w:r>
                <w:r w:rsidR="006940E0">
                  <w:rPr>
                    <w:sz w:val="16"/>
                  </w:rPr>
                  <w:t>xxx</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BB9" w:rsidRDefault="004572B7">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69.9pt;margin-top:18pt;width:224.1pt;height:20.3pt;z-index:-16096256;mso-position-horizontal-relative:page;mso-position-vertical-relative:page" filled="f" stroked="f">
          <v:textbox style="mso-next-textbox:#_x0000_s2049" inset="0,0,0,0">
            <w:txbxContent>
              <w:p w:rsidR="00E63E6D" w:rsidRDefault="00FD4394" w:rsidP="00E63E6D">
                <w:pPr>
                  <w:spacing w:before="20"/>
                  <w:ind w:left="20"/>
                  <w:rPr>
                    <w:sz w:val="16"/>
                  </w:rPr>
                </w:pPr>
                <w:r>
                  <w:rPr>
                    <w:sz w:val="16"/>
                  </w:rPr>
                  <w:t>A</w:t>
                </w:r>
                <w:r>
                  <w:rPr>
                    <w:spacing w:val="-1"/>
                    <w:sz w:val="16"/>
                  </w:rPr>
                  <w:t>l</w:t>
                </w:r>
                <w:r>
                  <w:rPr>
                    <w:sz w:val="16"/>
                  </w:rPr>
                  <w:t>-</w:t>
                </w:r>
                <w:r>
                  <w:rPr>
                    <w:rFonts w:ascii="Times New Roman"/>
                    <w:spacing w:val="-2"/>
                    <w:sz w:val="16"/>
                  </w:rPr>
                  <w:t xml:space="preserve"> </w:t>
                </w:r>
                <w:r>
                  <w:rPr>
                    <w:spacing w:val="-1"/>
                    <w:sz w:val="16"/>
                  </w:rPr>
                  <w:t>I</w:t>
                </w:r>
                <w:r>
                  <w:rPr>
                    <w:sz w:val="16"/>
                  </w:rPr>
                  <w:t>sh</w:t>
                </w:r>
                <w:r>
                  <w:rPr>
                    <w:spacing w:val="-1"/>
                    <w:sz w:val="16"/>
                  </w:rPr>
                  <w:t>l</w:t>
                </w:r>
                <w:r>
                  <w:rPr>
                    <w:sz w:val="16"/>
                  </w:rPr>
                  <w:t>ah:</w:t>
                </w:r>
                <w:r>
                  <w:rPr>
                    <w:rFonts w:ascii="Times New Roman"/>
                    <w:spacing w:val="-4"/>
                    <w:sz w:val="16"/>
                  </w:rPr>
                  <w:t xml:space="preserve"> </w:t>
                </w:r>
                <w:r>
                  <w:rPr>
                    <w:sz w:val="16"/>
                  </w:rPr>
                  <w:t>J</w:t>
                </w:r>
                <w:r>
                  <w:rPr>
                    <w:spacing w:val="1"/>
                    <w:sz w:val="16"/>
                  </w:rPr>
                  <w:t>u</w:t>
                </w:r>
                <w:r>
                  <w:rPr>
                    <w:spacing w:val="-4"/>
                    <w:sz w:val="16"/>
                  </w:rPr>
                  <w:t>r</w:t>
                </w:r>
                <w:r>
                  <w:rPr>
                    <w:spacing w:val="1"/>
                    <w:sz w:val="16"/>
                  </w:rPr>
                  <w:t>n</w:t>
                </w:r>
                <w:r>
                  <w:rPr>
                    <w:sz w:val="16"/>
                  </w:rPr>
                  <w:t>al</w:t>
                </w:r>
                <w:r>
                  <w:rPr>
                    <w:rFonts w:ascii="Times New Roman"/>
                    <w:spacing w:val="-2"/>
                    <w:sz w:val="16"/>
                  </w:rPr>
                  <w:t xml:space="preserve"> </w:t>
                </w:r>
                <w:r>
                  <w:rPr>
                    <w:sz w:val="16"/>
                  </w:rPr>
                  <w:t>P</w:t>
                </w:r>
                <w:r>
                  <w:rPr>
                    <w:spacing w:val="-4"/>
                    <w:sz w:val="16"/>
                  </w:rPr>
                  <w:t>e</w:t>
                </w:r>
                <w:r>
                  <w:rPr>
                    <w:spacing w:val="1"/>
                    <w:sz w:val="16"/>
                  </w:rPr>
                  <w:t>n</w:t>
                </w:r>
                <w:r>
                  <w:rPr>
                    <w:spacing w:val="-2"/>
                    <w:sz w:val="16"/>
                  </w:rPr>
                  <w:t>d</w:t>
                </w:r>
                <w:r>
                  <w:rPr>
                    <w:sz w:val="16"/>
                  </w:rPr>
                  <w:t>i</w:t>
                </w:r>
                <w:r>
                  <w:rPr>
                    <w:spacing w:val="-2"/>
                    <w:sz w:val="16"/>
                  </w:rPr>
                  <w:t>d</w:t>
                </w:r>
                <w:r>
                  <w:rPr>
                    <w:sz w:val="16"/>
                  </w:rPr>
                  <w:t>i</w:t>
                </w:r>
                <w:r>
                  <w:rPr>
                    <w:spacing w:val="-3"/>
                    <w:sz w:val="16"/>
                  </w:rPr>
                  <w:t>k</w:t>
                </w:r>
                <w:r>
                  <w:rPr>
                    <w:sz w:val="16"/>
                  </w:rPr>
                  <w:t>a</w:t>
                </w:r>
                <w:r>
                  <w:rPr>
                    <w:spacing w:val="1"/>
                    <w:sz w:val="16"/>
                  </w:rPr>
                  <w:t>n</w:t>
                </w:r>
                <w:r>
                  <w:rPr>
                    <w:sz w:val="16"/>
                  </w:rPr>
                  <w:t>,</w:t>
                </w:r>
                <w:r>
                  <w:rPr>
                    <w:rFonts w:ascii="Times New Roman"/>
                    <w:spacing w:val="-2"/>
                    <w:sz w:val="16"/>
                  </w:rPr>
                  <w:t xml:space="preserve"> </w:t>
                </w:r>
                <w:r w:rsidR="006940E0">
                  <w:rPr>
                    <w:spacing w:val="-3"/>
                    <w:sz w:val="16"/>
                  </w:rPr>
                  <w:t xml:space="preserve">xxx </w:t>
                </w:r>
                <w:r>
                  <w:rPr>
                    <w:smallCaps/>
                    <w:spacing w:val="-1"/>
                    <w:sz w:val="16"/>
                  </w:rPr>
                  <w:t>2</w:t>
                </w:r>
                <w:r>
                  <w:rPr>
                    <w:spacing w:val="-1"/>
                    <w:sz w:val="16"/>
                  </w:rPr>
                  <w:t>0</w:t>
                </w:r>
                <w:r>
                  <w:rPr>
                    <w:smallCaps/>
                    <w:spacing w:val="-1"/>
                    <w:sz w:val="16"/>
                  </w:rPr>
                  <w:t>2</w:t>
                </w:r>
                <w:r>
                  <w:rPr>
                    <w:smallCaps/>
                    <w:sz w:val="16"/>
                  </w:rPr>
                  <w:t>1</w:t>
                </w:r>
                <w:r>
                  <w:rPr>
                    <w:sz w:val="16"/>
                  </w:rPr>
                  <w:t>,</w:t>
                </w:r>
                <w:r>
                  <w:rPr>
                    <w:rFonts w:ascii="Times New Roman"/>
                    <w:spacing w:val="-2"/>
                    <w:sz w:val="16"/>
                  </w:rPr>
                  <w:t xml:space="preserve"> </w:t>
                </w:r>
                <w:r w:rsidR="006940E0">
                  <w:rPr>
                    <w:smallCaps/>
                    <w:sz w:val="16"/>
                  </w:rPr>
                  <w:t>xxx</w:t>
                </w:r>
                <w:r>
                  <w:rPr>
                    <w:spacing w:val="-1"/>
                    <w:sz w:val="16"/>
                  </w:rPr>
                  <w:t>)</w:t>
                </w:r>
                <w:r>
                  <w:rPr>
                    <w:sz w:val="16"/>
                  </w:rPr>
                  <w:t>,</w:t>
                </w:r>
                <w:r>
                  <w:rPr>
                    <w:rFonts w:ascii="Times New Roman"/>
                    <w:spacing w:val="-2"/>
                    <w:sz w:val="16"/>
                  </w:rPr>
                  <w:t xml:space="preserve"> </w:t>
                </w:r>
                <w:r>
                  <w:rPr>
                    <w:spacing w:val="-2"/>
                    <w:sz w:val="16"/>
                  </w:rPr>
                  <w:t>P</w:t>
                </w:r>
                <w:r>
                  <w:rPr>
                    <w:sz w:val="16"/>
                  </w:rPr>
                  <w:t>a</w:t>
                </w:r>
                <w:r>
                  <w:rPr>
                    <w:spacing w:val="-1"/>
                    <w:sz w:val="16"/>
                  </w:rPr>
                  <w:t>ge</w:t>
                </w:r>
                <w:r>
                  <w:rPr>
                    <w:sz w:val="16"/>
                  </w:rPr>
                  <w:t>s</w:t>
                </w:r>
                <w:r>
                  <w:rPr>
                    <w:rFonts w:ascii="Times New Roman"/>
                    <w:spacing w:val="-2"/>
                    <w:sz w:val="16"/>
                  </w:rPr>
                  <w:t xml:space="preserve"> </w:t>
                </w:r>
                <w:r w:rsidR="006940E0">
                  <w:rPr>
                    <w:sz w:val="16"/>
                  </w:rPr>
                  <w:t>xxx</w:t>
                </w:r>
              </w:p>
              <w:p w:rsidR="00E63E6D" w:rsidRPr="00E63E6D" w:rsidRDefault="00E63E6D" w:rsidP="00E63E6D">
                <w:pPr>
                  <w:spacing w:before="20"/>
                  <w:ind w:left="20"/>
                  <w:rPr>
                    <w:sz w:val="16"/>
                  </w:rPr>
                </w:pPr>
                <w:r w:rsidRPr="00E63E6D">
                  <w:rPr>
                    <w:rFonts w:eastAsia="Cambria"/>
                    <w:iCs/>
                    <w:sz w:val="16"/>
                    <w:szCs w:val="16"/>
                    <w:lang w:val="id-ID"/>
                  </w:rPr>
                  <w:t xml:space="preserve">Yusuf Faisal Ali </w:t>
                </w:r>
              </w:p>
              <w:p w:rsidR="00D03CB0" w:rsidRPr="00776EB5" w:rsidRDefault="00D03CB0" w:rsidP="00E63E6D">
                <w:pPr>
                  <w:spacing w:before="20"/>
                  <w:ind w:left="20"/>
                  <w:rPr>
                    <w:sz w:val="16"/>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4F43FF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WWNum2"/>
    <w:lvl w:ilvl="0">
      <w:start w:val="1"/>
      <w:numFmt w:val="decimal"/>
      <w:lvlText w:val="%1."/>
      <w:lvlJc w:val="left"/>
      <w:pPr>
        <w:tabs>
          <w:tab w:val="num" w:pos="0"/>
        </w:tabs>
        <w:ind w:left="1800" w:hanging="360"/>
      </w:pPr>
      <w:rPr>
        <w:rFonts w:eastAsia="Times New Roman"/>
        <w:color w:val="00000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2B1A61"/>
    <w:multiLevelType w:val="hybridMultilevel"/>
    <w:tmpl w:val="58CABE54"/>
    <w:lvl w:ilvl="0" w:tplc="2C007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560A6"/>
    <w:multiLevelType w:val="hybridMultilevel"/>
    <w:tmpl w:val="4C1EA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763C5"/>
    <w:multiLevelType w:val="hybridMultilevel"/>
    <w:tmpl w:val="927C0A96"/>
    <w:lvl w:ilvl="0" w:tplc="950A44D4">
      <w:start w:val="1"/>
      <w:numFmt w:val="decimal"/>
      <w:lvlText w:val="%1)"/>
      <w:lvlJc w:val="left"/>
      <w:pPr>
        <w:ind w:left="1044" w:hanging="567"/>
      </w:pPr>
      <w:rPr>
        <w:rFonts w:ascii="Georgia" w:eastAsia="Georgia" w:hAnsi="Georgia" w:cs="Georgia" w:hint="default"/>
        <w:spacing w:val="0"/>
        <w:w w:val="100"/>
        <w:sz w:val="22"/>
        <w:szCs w:val="22"/>
        <w:lang w:val="en-US" w:eastAsia="en-US" w:bidi="ar-SA"/>
      </w:rPr>
    </w:lvl>
    <w:lvl w:ilvl="1" w:tplc="EC2E414E">
      <w:numFmt w:val="bullet"/>
      <w:lvlText w:val="•"/>
      <w:lvlJc w:val="left"/>
      <w:pPr>
        <w:ind w:left="1994" w:hanging="567"/>
      </w:pPr>
      <w:rPr>
        <w:rFonts w:hint="default"/>
        <w:lang w:val="en-US" w:eastAsia="en-US" w:bidi="ar-SA"/>
      </w:rPr>
    </w:lvl>
    <w:lvl w:ilvl="2" w:tplc="C3B48CC8">
      <w:numFmt w:val="bullet"/>
      <w:lvlText w:val="•"/>
      <w:lvlJc w:val="left"/>
      <w:pPr>
        <w:ind w:left="2948" w:hanging="567"/>
      </w:pPr>
      <w:rPr>
        <w:rFonts w:hint="default"/>
        <w:lang w:val="en-US" w:eastAsia="en-US" w:bidi="ar-SA"/>
      </w:rPr>
    </w:lvl>
    <w:lvl w:ilvl="3" w:tplc="5BA6619A">
      <w:numFmt w:val="bullet"/>
      <w:lvlText w:val="•"/>
      <w:lvlJc w:val="left"/>
      <w:pPr>
        <w:ind w:left="3903" w:hanging="567"/>
      </w:pPr>
      <w:rPr>
        <w:rFonts w:hint="default"/>
        <w:lang w:val="en-US" w:eastAsia="en-US" w:bidi="ar-SA"/>
      </w:rPr>
    </w:lvl>
    <w:lvl w:ilvl="4" w:tplc="B17C50DC">
      <w:numFmt w:val="bullet"/>
      <w:lvlText w:val="•"/>
      <w:lvlJc w:val="left"/>
      <w:pPr>
        <w:ind w:left="4857" w:hanging="567"/>
      </w:pPr>
      <w:rPr>
        <w:rFonts w:hint="default"/>
        <w:lang w:val="en-US" w:eastAsia="en-US" w:bidi="ar-SA"/>
      </w:rPr>
    </w:lvl>
    <w:lvl w:ilvl="5" w:tplc="7610C4E0">
      <w:numFmt w:val="bullet"/>
      <w:lvlText w:val="•"/>
      <w:lvlJc w:val="left"/>
      <w:pPr>
        <w:ind w:left="5812" w:hanging="567"/>
      </w:pPr>
      <w:rPr>
        <w:rFonts w:hint="default"/>
        <w:lang w:val="en-US" w:eastAsia="en-US" w:bidi="ar-SA"/>
      </w:rPr>
    </w:lvl>
    <w:lvl w:ilvl="6" w:tplc="50CAE336">
      <w:numFmt w:val="bullet"/>
      <w:lvlText w:val="•"/>
      <w:lvlJc w:val="left"/>
      <w:pPr>
        <w:ind w:left="6766" w:hanging="567"/>
      </w:pPr>
      <w:rPr>
        <w:rFonts w:hint="default"/>
        <w:lang w:val="en-US" w:eastAsia="en-US" w:bidi="ar-SA"/>
      </w:rPr>
    </w:lvl>
    <w:lvl w:ilvl="7" w:tplc="26304FEA">
      <w:numFmt w:val="bullet"/>
      <w:lvlText w:val="•"/>
      <w:lvlJc w:val="left"/>
      <w:pPr>
        <w:ind w:left="7721" w:hanging="567"/>
      </w:pPr>
      <w:rPr>
        <w:rFonts w:hint="default"/>
        <w:lang w:val="en-US" w:eastAsia="en-US" w:bidi="ar-SA"/>
      </w:rPr>
    </w:lvl>
    <w:lvl w:ilvl="8" w:tplc="33D03D66">
      <w:numFmt w:val="bullet"/>
      <w:lvlText w:val="•"/>
      <w:lvlJc w:val="left"/>
      <w:pPr>
        <w:ind w:left="8675" w:hanging="567"/>
      </w:pPr>
      <w:rPr>
        <w:rFonts w:hint="default"/>
        <w:lang w:val="en-US" w:eastAsia="en-US" w:bidi="ar-SA"/>
      </w:rPr>
    </w:lvl>
  </w:abstractNum>
  <w:abstractNum w:abstractNumId="5" w15:restartNumberingAfterBreak="0">
    <w:nsid w:val="155645D0"/>
    <w:multiLevelType w:val="hybridMultilevel"/>
    <w:tmpl w:val="042671F8"/>
    <w:lvl w:ilvl="0" w:tplc="0409000F">
      <w:start w:val="1"/>
      <w:numFmt w:val="decimal"/>
      <w:lvlText w:val="%1."/>
      <w:lvlJc w:val="left"/>
      <w:pPr>
        <w:ind w:left="1198" w:hanging="360"/>
      </w:pPr>
    </w:lvl>
    <w:lvl w:ilvl="1" w:tplc="04090019" w:tentative="1">
      <w:start w:val="1"/>
      <w:numFmt w:val="lowerLetter"/>
      <w:lvlText w:val="%2."/>
      <w:lvlJc w:val="left"/>
      <w:pPr>
        <w:ind w:left="1918" w:hanging="360"/>
      </w:pPr>
    </w:lvl>
    <w:lvl w:ilvl="2" w:tplc="0409001B" w:tentative="1">
      <w:start w:val="1"/>
      <w:numFmt w:val="lowerRoman"/>
      <w:lvlText w:val="%3."/>
      <w:lvlJc w:val="right"/>
      <w:pPr>
        <w:ind w:left="2638" w:hanging="180"/>
      </w:pPr>
    </w:lvl>
    <w:lvl w:ilvl="3" w:tplc="0409000F" w:tentative="1">
      <w:start w:val="1"/>
      <w:numFmt w:val="decimal"/>
      <w:lvlText w:val="%4."/>
      <w:lvlJc w:val="left"/>
      <w:pPr>
        <w:ind w:left="3358" w:hanging="360"/>
      </w:pPr>
    </w:lvl>
    <w:lvl w:ilvl="4" w:tplc="04090019" w:tentative="1">
      <w:start w:val="1"/>
      <w:numFmt w:val="lowerLetter"/>
      <w:lvlText w:val="%5."/>
      <w:lvlJc w:val="left"/>
      <w:pPr>
        <w:ind w:left="4078" w:hanging="360"/>
      </w:pPr>
    </w:lvl>
    <w:lvl w:ilvl="5" w:tplc="0409001B" w:tentative="1">
      <w:start w:val="1"/>
      <w:numFmt w:val="lowerRoman"/>
      <w:lvlText w:val="%6."/>
      <w:lvlJc w:val="right"/>
      <w:pPr>
        <w:ind w:left="4798" w:hanging="180"/>
      </w:pPr>
    </w:lvl>
    <w:lvl w:ilvl="6" w:tplc="0409000F" w:tentative="1">
      <w:start w:val="1"/>
      <w:numFmt w:val="decimal"/>
      <w:lvlText w:val="%7."/>
      <w:lvlJc w:val="left"/>
      <w:pPr>
        <w:ind w:left="5518" w:hanging="360"/>
      </w:pPr>
    </w:lvl>
    <w:lvl w:ilvl="7" w:tplc="04090019" w:tentative="1">
      <w:start w:val="1"/>
      <w:numFmt w:val="lowerLetter"/>
      <w:lvlText w:val="%8."/>
      <w:lvlJc w:val="left"/>
      <w:pPr>
        <w:ind w:left="6238" w:hanging="360"/>
      </w:pPr>
    </w:lvl>
    <w:lvl w:ilvl="8" w:tplc="0409001B" w:tentative="1">
      <w:start w:val="1"/>
      <w:numFmt w:val="lowerRoman"/>
      <w:lvlText w:val="%9."/>
      <w:lvlJc w:val="right"/>
      <w:pPr>
        <w:ind w:left="6958" w:hanging="180"/>
      </w:pPr>
    </w:lvl>
  </w:abstractNum>
  <w:abstractNum w:abstractNumId="6" w15:restartNumberingAfterBreak="0">
    <w:nsid w:val="1EA84A22"/>
    <w:multiLevelType w:val="hybridMultilevel"/>
    <w:tmpl w:val="7C6C99F2"/>
    <w:lvl w:ilvl="0" w:tplc="2C007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F47BF8"/>
    <w:multiLevelType w:val="hybridMultilevel"/>
    <w:tmpl w:val="46A494AC"/>
    <w:lvl w:ilvl="0" w:tplc="2C007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FF09B4"/>
    <w:multiLevelType w:val="multilevel"/>
    <w:tmpl w:val="3B6AAE3A"/>
    <w:lvl w:ilvl="0">
      <w:start w:val="1"/>
      <w:numFmt w:val="decimal"/>
      <w:pStyle w:val="section"/>
      <w:suff w:val="space"/>
      <w:lvlText w:val="%1."/>
      <w:lvlJc w:val="left"/>
      <w:pPr>
        <w:ind w:left="0" w:firstLine="0"/>
      </w:pPr>
      <w:rPr>
        <w:rFonts w:hint="default"/>
        <w:sz w:val="22"/>
      </w:rPr>
    </w:lvl>
    <w:lvl w:ilvl="1">
      <w:start w:val="1"/>
      <w:numFmt w:val="decimal"/>
      <w:pStyle w:val="subsection"/>
      <w:suff w:val="space"/>
      <w:lvlText w:val="%1.%2."/>
      <w:lvlJc w:val="left"/>
      <w:pPr>
        <w:ind w:left="0" w:firstLine="0"/>
      </w:pPr>
      <w:rPr>
        <w:rFonts w:hint="default"/>
        <w:lang w:val="en-GB"/>
      </w:rPr>
    </w:lvl>
    <w:lvl w:ilvl="2">
      <w:start w:val="1"/>
      <w:numFmt w:val="decimal"/>
      <w:pStyle w:val="subsubsection"/>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8"/>
  </w:num>
  <w:num w:numId="3">
    <w:abstractNumId w:val="0"/>
  </w:num>
  <w:num w:numId="4">
    <w:abstractNumId w:val="2"/>
  </w:num>
  <w:num w:numId="5">
    <w:abstractNumId w:val="3"/>
  </w:num>
  <w:num w:numId="6">
    <w:abstractNumId w:val="6"/>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evenAndOddHeaders/>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D70BB9"/>
    <w:rsid w:val="000403D5"/>
    <w:rsid w:val="00055C99"/>
    <w:rsid w:val="000E0DD6"/>
    <w:rsid w:val="001D5A1C"/>
    <w:rsid w:val="002078BB"/>
    <w:rsid w:val="00337161"/>
    <w:rsid w:val="003533B4"/>
    <w:rsid w:val="00361865"/>
    <w:rsid w:val="004570B4"/>
    <w:rsid w:val="004572B7"/>
    <w:rsid w:val="004731EA"/>
    <w:rsid w:val="00521C14"/>
    <w:rsid w:val="005864D1"/>
    <w:rsid w:val="00615212"/>
    <w:rsid w:val="00647886"/>
    <w:rsid w:val="006940E0"/>
    <w:rsid w:val="00776EB5"/>
    <w:rsid w:val="007A617A"/>
    <w:rsid w:val="007F59BA"/>
    <w:rsid w:val="008143D2"/>
    <w:rsid w:val="0087154B"/>
    <w:rsid w:val="0097087A"/>
    <w:rsid w:val="009A48BE"/>
    <w:rsid w:val="009A5116"/>
    <w:rsid w:val="009D37E8"/>
    <w:rsid w:val="00AE3609"/>
    <w:rsid w:val="00B17AA4"/>
    <w:rsid w:val="00D03CB0"/>
    <w:rsid w:val="00D25361"/>
    <w:rsid w:val="00D27CA3"/>
    <w:rsid w:val="00D70BB9"/>
    <w:rsid w:val="00DA04D7"/>
    <w:rsid w:val="00E10130"/>
    <w:rsid w:val="00E63E6D"/>
    <w:rsid w:val="00EE4B8B"/>
    <w:rsid w:val="00FD4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1" type="connector" idref="#_x0000_s1145"/>
      </o:rules>
    </o:shapelayout>
  </w:shapeDefaults>
  <w:decimalSymbol w:val=","/>
  <w:listSeparator w:val=";"/>
  <w14:docId w14:val="25BC18A4"/>
  <w15:docId w15:val="{77A441A6-8E03-4051-9888-3BDCA38A4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spacing w:before="119"/>
      <w:ind w:left="47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100"/>
      <w:ind w:left="480" w:right="216"/>
    </w:pPr>
    <w:rPr>
      <w:b/>
      <w:bCs/>
      <w:sz w:val="36"/>
      <w:szCs w:val="36"/>
    </w:rPr>
  </w:style>
  <w:style w:type="paragraph" w:styleId="ListParagraph">
    <w:name w:val="List Paragraph"/>
    <w:aliases w:val="Body of text,List Paragraph1,Medium Grid 1 - Accent 21,Body of text+1,Body of text+2,Body of text+3,List Paragraph11,Body of textCxSp,Colorful List - Accent 11"/>
    <w:basedOn w:val="Normal"/>
    <w:link w:val="ListParagraphChar"/>
    <w:uiPriority w:val="34"/>
    <w:qFormat/>
    <w:pPr>
      <w:spacing w:line="249" w:lineRule="exact"/>
      <w:ind w:left="1044" w:hanging="567"/>
      <w:jc w:val="both"/>
    </w:pPr>
  </w:style>
  <w:style w:type="paragraph" w:customStyle="1" w:styleId="TableParagraph">
    <w:name w:val="Table Paragraph"/>
    <w:basedOn w:val="Normal"/>
    <w:uiPriority w:val="1"/>
    <w:qFormat/>
    <w:pPr>
      <w:spacing w:line="204" w:lineRule="exact"/>
      <w:ind w:left="214"/>
    </w:pPr>
  </w:style>
  <w:style w:type="character" w:customStyle="1" w:styleId="jlqj4b">
    <w:name w:val="jlqj4b"/>
    <w:basedOn w:val="DefaultParagraphFont"/>
    <w:rsid w:val="00361865"/>
  </w:style>
  <w:style w:type="paragraph" w:styleId="HTMLPreformatted">
    <w:name w:val="HTML Preformatted"/>
    <w:basedOn w:val="Normal"/>
    <w:link w:val="HTMLPreformattedChar"/>
    <w:uiPriority w:val="99"/>
    <w:semiHidden/>
    <w:rsid w:val="001D5A1C"/>
    <w:pPr>
      <w:widowControl/>
      <w:autoSpaceDE/>
      <w:autoSpaceDN/>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uiPriority w:val="99"/>
    <w:semiHidden/>
    <w:rsid w:val="001D5A1C"/>
    <w:rPr>
      <w:rFonts w:ascii="Courier New" w:eastAsia="Times New Roman" w:hAnsi="Courier New" w:cs="Courier New"/>
      <w:sz w:val="20"/>
      <w:szCs w:val="20"/>
      <w:lang w:val="en-GB"/>
    </w:rPr>
  </w:style>
  <w:style w:type="paragraph" w:customStyle="1" w:styleId="Authors">
    <w:name w:val="Authors"/>
    <w:rsid w:val="001D5A1C"/>
    <w:pPr>
      <w:widowControl/>
      <w:autoSpaceDE/>
      <w:autoSpaceDN/>
      <w:spacing w:after="113"/>
      <w:ind w:left="1418"/>
    </w:pPr>
    <w:rPr>
      <w:rFonts w:ascii="Times" w:eastAsia="Times New Roman" w:hAnsi="Times" w:cs="Times New Roman"/>
      <w:b/>
      <w:lang w:val="en-GB"/>
    </w:rPr>
  </w:style>
  <w:style w:type="paragraph" w:customStyle="1" w:styleId="Abstract">
    <w:name w:val="Abstract"/>
    <w:rsid w:val="001D5A1C"/>
    <w:pPr>
      <w:widowControl/>
      <w:autoSpaceDE/>
      <w:autoSpaceDN/>
      <w:spacing w:after="454"/>
      <w:ind w:left="1418"/>
      <w:jc w:val="both"/>
    </w:pPr>
    <w:rPr>
      <w:rFonts w:ascii="Times" w:eastAsia="Times New Roman" w:hAnsi="Times" w:cs="Times New Roman"/>
      <w:color w:val="000000"/>
      <w:sz w:val="20"/>
      <w:szCs w:val="20"/>
      <w:lang w:val="en-GB"/>
    </w:rPr>
  </w:style>
  <w:style w:type="paragraph" w:customStyle="1" w:styleId="Addresses">
    <w:name w:val="Addresses"/>
    <w:autoRedefine/>
    <w:rsid w:val="001D5A1C"/>
    <w:pPr>
      <w:widowControl/>
      <w:autoSpaceDE/>
      <w:autoSpaceDN/>
      <w:ind w:left="1417"/>
    </w:pPr>
    <w:rPr>
      <w:rFonts w:ascii="Times New Roman" w:eastAsia="Times New Roman" w:hAnsi="Times New Roman" w:cs="Times New Roman"/>
      <w:lang w:val="en-GB"/>
    </w:rPr>
  </w:style>
  <w:style w:type="paragraph" w:styleId="Header">
    <w:name w:val="header"/>
    <w:basedOn w:val="Normal"/>
    <w:link w:val="HeaderChar"/>
    <w:uiPriority w:val="99"/>
    <w:unhideWhenUsed/>
    <w:rsid w:val="001D5A1C"/>
    <w:pPr>
      <w:tabs>
        <w:tab w:val="center" w:pos="4680"/>
        <w:tab w:val="right" w:pos="9360"/>
      </w:tabs>
    </w:pPr>
  </w:style>
  <w:style w:type="character" w:customStyle="1" w:styleId="HeaderChar">
    <w:name w:val="Header Char"/>
    <w:basedOn w:val="DefaultParagraphFont"/>
    <w:link w:val="Header"/>
    <w:uiPriority w:val="99"/>
    <w:rsid w:val="001D5A1C"/>
    <w:rPr>
      <w:rFonts w:ascii="Georgia" w:eastAsia="Georgia" w:hAnsi="Georgia" w:cs="Georgia"/>
    </w:rPr>
  </w:style>
  <w:style w:type="paragraph" w:styleId="Footer">
    <w:name w:val="footer"/>
    <w:basedOn w:val="Normal"/>
    <w:link w:val="FooterChar"/>
    <w:uiPriority w:val="99"/>
    <w:unhideWhenUsed/>
    <w:rsid w:val="001D5A1C"/>
    <w:pPr>
      <w:tabs>
        <w:tab w:val="center" w:pos="4680"/>
        <w:tab w:val="right" w:pos="9360"/>
      </w:tabs>
    </w:pPr>
  </w:style>
  <w:style w:type="character" w:customStyle="1" w:styleId="FooterChar">
    <w:name w:val="Footer Char"/>
    <w:basedOn w:val="DefaultParagraphFont"/>
    <w:link w:val="Footer"/>
    <w:uiPriority w:val="99"/>
    <w:rsid w:val="001D5A1C"/>
    <w:rPr>
      <w:rFonts w:ascii="Georgia" w:eastAsia="Georgia" w:hAnsi="Georgia" w:cs="Georgia"/>
    </w:rPr>
  </w:style>
  <w:style w:type="paragraph" w:customStyle="1" w:styleId="subsection">
    <w:name w:val="subsection"/>
    <w:rsid w:val="009A5116"/>
    <w:pPr>
      <w:widowControl/>
      <w:numPr>
        <w:ilvl w:val="1"/>
        <w:numId w:val="2"/>
      </w:numPr>
      <w:tabs>
        <w:tab w:val="left" w:pos="567"/>
      </w:tabs>
      <w:autoSpaceDE/>
      <w:autoSpaceDN/>
      <w:spacing w:before="240"/>
    </w:pPr>
    <w:rPr>
      <w:rFonts w:ascii="Times" w:eastAsia="Times New Roman" w:hAnsi="Times" w:cs="Times New Roman"/>
      <w:i/>
      <w:iCs/>
      <w:color w:val="000000"/>
    </w:rPr>
  </w:style>
  <w:style w:type="paragraph" w:customStyle="1" w:styleId="section">
    <w:name w:val="section"/>
    <w:link w:val="sectionChar"/>
    <w:autoRedefine/>
    <w:rsid w:val="009A5116"/>
    <w:pPr>
      <w:widowControl/>
      <w:numPr>
        <w:numId w:val="2"/>
      </w:numPr>
      <w:tabs>
        <w:tab w:val="left" w:pos="567"/>
      </w:tabs>
      <w:autoSpaceDE/>
      <w:autoSpaceDN/>
      <w:spacing w:before="240"/>
    </w:pPr>
    <w:rPr>
      <w:rFonts w:ascii="Times" w:eastAsia="Times New Roman" w:hAnsi="Times" w:cs="Times New Roman"/>
      <w:b/>
      <w:color w:val="000000"/>
      <w:lang w:val="en-GB"/>
    </w:rPr>
  </w:style>
  <w:style w:type="paragraph" w:customStyle="1" w:styleId="subsubsection">
    <w:name w:val="subsubsection"/>
    <w:autoRedefine/>
    <w:rsid w:val="009A5116"/>
    <w:pPr>
      <w:widowControl/>
      <w:numPr>
        <w:ilvl w:val="2"/>
        <w:numId w:val="2"/>
      </w:numPr>
      <w:tabs>
        <w:tab w:val="left" w:pos="567"/>
      </w:tabs>
      <w:autoSpaceDE/>
      <w:autoSpaceDN/>
      <w:spacing w:before="240"/>
      <w:ind w:left="0" w:firstLine="0"/>
      <w:jc w:val="both"/>
    </w:pPr>
    <w:rPr>
      <w:rFonts w:ascii="Times" w:eastAsia="Times New Roman" w:hAnsi="Times" w:cs="Times New Roman"/>
      <w:i/>
      <w:iCs/>
      <w:color w:val="000000"/>
    </w:rPr>
  </w:style>
  <w:style w:type="character" w:customStyle="1" w:styleId="sectionChar">
    <w:name w:val="section Char"/>
    <w:link w:val="section"/>
    <w:rsid w:val="009A5116"/>
    <w:rPr>
      <w:rFonts w:ascii="Times" w:eastAsia="Times New Roman" w:hAnsi="Times" w:cs="Times New Roman"/>
      <w:b/>
      <w:color w:val="000000"/>
      <w:lang w:val="en-GB"/>
    </w:rPr>
  </w:style>
  <w:style w:type="table" w:styleId="TableGrid">
    <w:name w:val="Table Grid"/>
    <w:basedOn w:val="TableNormal"/>
    <w:uiPriority w:val="59"/>
    <w:rsid w:val="009A5116"/>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har">
    <w:name w:val="Body Char"/>
    <w:link w:val="BodyCharChar"/>
    <w:rsid w:val="009A5116"/>
    <w:pPr>
      <w:widowControl/>
      <w:tabs>
        <w:tab w:val="left" w:pos="567"/>
      </w:tabs>
      <w:autoSpaceDE/>
      <w:autoSpaceDN/>
      <w:jc w:val="both"/>
    </w:pPr>
    <w:rPr>
      <w:rFonts w:ascii="Times" w:eastAsia="Times New Roman" w:hAnsi="Times" w:cs="Times New Roman"/>
      <w:color w:val="000000"/>
      <w:lang w:val="en-GB"/>
    </w:rPr>
  </w:style>
  <w:style w:type="paragraph" w:styleId="ListBullet2">
    <w:name w:val="List Bullet 2"/>
    <w:basedOn w:val="Normal"/>
    <w:autoRedefine/>
    <w:semiHidden/>
    <w:rsid w:val="009A5116"/>
    <w:pPr>
      <w:widowControl/>
      <w:numPr>
        <w:numId w:val="3"/>
      </w:numPr>
      <w:autoSpaceDE/>
      <w:autoSpaceDN/>
    </w:pPr>
    <w:rPr>
      <w:rFonts w:ascii="Sabon" w:eastAsia="Times New Roman" w:hAnsi="Sabon" w:cs="Times New Roman"/>
      <w:szCs w:val="20"/>
      <w:lang w:val="en-GB"/>
    </w:rPr>
  </w:style>
  <w:style w:type="character" w:customStyle="1" w:styleId="BodyCharChar">
    <w:name w:val="Body Char Char"/>
    <w:link w:val="BodyChar"/>
    <w:rsid w:val="009A5116"/>
    <w:rPr>
      <w:rFonts w:ascii="Times" w:eastAsia="Times New Roman" w:hAnsi="Times" w:cs="Times New Roman"/>
      <w:color w:val="000000"/>
      <w:lang w:val="en-GB"/>
    </w:rPr>
  </w:style>
  <w:style w:type="character" w:styleId="Hyperlink">
    <w:name w:val="Hyperlink"/>
    <w:rsid w:val="000E0DD6"/>
    <w:rPr>
      <w:color w:val="0000FF"/>
      <w:u w:val="single"/>
    </w:rPr>
  </w:style>
  <w:style w:type="character" w:customStyle="1" w:styleId="times1">
    <w:name w:val="times1"/>
    <w:rsid w:val="000E0DD6"/>
    <w:rPr>
      <w:rFonts w:ascii="Times New Roman" w:hAnsi="Times New Roman" w:cs="Times New Roman" w:hint="default"/>
      <w:color w:val="000000"/>
      <w:sz w:val="24"/>
      <w:szCs w:val="24"/>
    </w:rPr>
  </w:style>
  <w:style w:type="character" w:customStyle="1" w:styleId="ListParagraphChar">
    <w:name w:val="List Paragraph Char"/>
    <w:aliases w:val="Body of text Char,List Paragraph1 Char,Medium Grid 1 - Accent 21 Char,Body of text+1 Char,Body of text+2 Char,Body of text+3 Char,List Paragraph11 Char,Body of textCxSp Char,Colorful List - Accent 11 Char"/>
    <w:basedOn w:val="DefaultParagraphFont"/>
    <w:link w:val="ListParagraph"/>
    <w:uiPriority w:val="34"/>
    <w:qFormat/>
    <w:locked/>
    <w:rsid w:val="000E0DD6"/>
    <w:rPr>
      <w:rFonts w:ascii="Georgia" w:eastAsia="Georgia" w:hAnsi="Georgia" w:cs="Georgia"/>
    </w:rPr>
  </w:style>
  <w:style w:type="paragraph" w:customStyle="1" w:styleId="E-mail">
    <w:name w:val="E-mail"/>
    <w:next w:val="Abstract"/>
    <w:rsid w:val="00D25361"/>
    <w:pPr>
      <w:widowControl/>
      <w:autoSpaceDE/>
      <w:autoSpaceDN/>
      <w:spacing w:after="240"/>
      <w:ind w:left="1418"/>
    </w:pPr>
    <w:rPr>
      <w:rFonts w:ascii="Times" w:eastAsia="Times New Roman" w:hAnsi="Times" w:cs="Times New Roman"/>
      <w:noProof/>
    </w:rPr>
  </w:style>
  <w:style w:type="paragraph" w:customStyle="1" w:styleId="Paragraph">
    <w:name w:val="Paragraph"/>
    <w:basedOn w:val="Normal"/>
    <w:link w:val="ParagraphChar"/>
    <w:qFormat/>
    <w:rsid w:val="008143D2"/>
    <w:pPr>
      <w:widowControl/>
      <w:autoSpaceDE/>
      <w:autoSpaceDN/>
      <w:spacing w:line="480" w:lineRule="auto"/>
      <w:ind w:firstLine="567"/>
      <w:jc w:val="both"/>
    </w:pPr>
    <w:rPr>
      <w:rFonts w:ascii="Times New Roman" w:eastAsia="Calibri" w:hAnsi="Times New Roman" w:cs="Times New Roman"/>
      <w:sz w:val="24"/>
      <w:szCs w:val="24"/>
      <w:lang w:val="en-ID"/>
    </w:rPr>
  </w:style>
  <w:style w:type="character" w:customStyle="1" w:styleId="ParagraphChar">
    <w:name w:val="Paragraph Char"/>
    <w:link w:val="Paragraph"/>
    <w:rsid w:val="008143D2"/>
    <w:rPr>
      <w:rFonts w:ascii="Times New Roman" w:eastAsia="Calibri" w:hAnsi="Times New Roman" w:cs="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suffaisalali2016@gmail.com"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journal.staihubbulwathan.id/index.php/alishla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6924E-BD39-44E8-A03E-FF7B56BF1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12202</Words>
  <Characters>69552</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Microsoft Word - a9e7-afba-75e8-6db1</vt:lpstr>
    </vt:vector>
  </TitlesOfParts>
  <Company/>
  <LinksUpToDate>false</LinksUpToDate>
  <CharactersWithSpaces>81591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a9e7-afba-75e8-6db1</dc:title>
  <dc:creator>Toshiba</dc:creator>
  <cp:lastModifiedBy>USER</cp:lastModifiedBy>
  <cp:revision>24</cp:revision>
  <dcterms:created xsi:type="dcterms:W3CDTF">2021-08-24T01:24:00Z</dcterms:created>
  <dcterms:modified xsi:type="dcterms:W3CDTF">2021-09-18T06:55:00Z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2021-08-14T00:00:00Z</vt:filetime>
  </property>
  <property fmtid="{D5CDD505-2E9C-101B-9397-08002B2CF9AE}" pid="3" name="Creator">
    <vt:lpwstr>Nitro Pro</vt:lpwstr>
  </property>
  <property fmtid="{D5CDD505-2E9C-101B-9397-08002B2CF9AE}" pid="4" name="LastSaved">
    <vt:filetime>2021-08-24T00:00:00Z</vt:filetime>
  </property>
</Properties>
</file>